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5B9F" w:rsidRPr="003611DD" w:rsidRDefault="00485B9F" w:rsidP="00485B9F">
      <w:pPr>
        <w:autoSpaceDE w:val="0"/>
        <w:autoSpaceDN w:val="0"/>
        <w:adjustRightInd w:val="0"/>
        <w:spacing w:after="0"/>
        <w:rPr>
          <w:rFonts w:cs="Times New Roman"/>
          <w:sz w:val="24"/>
          <w:szCs w:val="24"/>
        </w:rPr>
      </w:pPr>
    </w:p>
    <w:p w:rsidR="00485B9F" w:rsidRPr="00B369B4" w:rsidRDefault="00485B9F" w:rsidP="00485B9F">
      <w:pPr>
        <w:autoSpaceDE w:val="0"/>
        <w:autoSpaceDN w:val="0"/>
        <w:adjustRightInd w:val="0"/>
        <w:spacing w:after="0" w:line="240" w:lineRule="auto"/>
        <w:jc w:val="center"/>
        <w:rPr>
          <w:rFonts w:cs="Times New Roman"/>
          <w:b/>
          <w:sz w:val="40"/>
          <w:szCs w:val="40"/>
        </w:rPr>
      </w:pPr>
      <w:r w:rsidRPr="00B369B4">
        <w:rPr>
          <w:rFonts w:cs="Times New Roman"/>
          <w:b/>
          <w:sz w:val="40"/>
          <w:szCs w:val="40"/>
        </w:rPr>
        <w:t>Résumé</w:t>
      </w:r>
    </w:p>
    <w:p w:rsidR="00485B9F" w:rsidRDefault="00485B9F" w:rsidP="00485B9F">
      <w:pPr>
        <w:autoSpaceDE w:val="0"/>
        <w:autoSpaceDN w:val="0"/>
        <w:adjustRightInd w:val="0"/>
        <w:spacing w:after="0" w:line="240" w:lineRule="auto"/>
        <w:jc w:val="both"/>
        <w:rPr>
          <w:rFonts w:cs="Times New Roman"/>
          <w:szCs w:val="24"/>
        </w:rPr>
      </w:pPr>
    </w:p>
    <w:p w:rsidR="00485B9F" w:rsidRPr="003C3E62" w:rsidRDefault="00485B9F" w:rsidP="00485B9F">
      <w:pPr>
        <w:autoSpaceDE w:val="0"/>
        <w:autoSpaceDN w:val="0"/>
        <w:adjustRightInd w:val="0"/>
        <w:spacing w:after="0" w:line="240" w:lineRule="auto"/>
        <w:jc w:val="both"/>
        <w:rPr>
          <w:rFonts w:ascii="Times New Roman" w:hAnsi="Times New Roman" w:cs="Times New Roman"/>
          <w:sz w:val="24"/>
          <w:szCs w:val="24"/>
        </w:rPr>
      </w:pPr>
    </w:p>
    <w:p w:rsidR="00485B9F" w:rsidRPr="004A4A70" w:rsidRDefault="00485B9F" w:rsidP="004A4A70">
      <w:pPr>
        <w:autoSpaceDE w:val="0"/>
        <w:autoSpaceDN w:val="0"/>
        <w:adjustRightInd w:val="0"/>
        <w:spacing w:after="0" w:line="360" w:lineRule="auto"/>
        <w:jc w:val="both"/>
        <w:rPr>
          <w:rFonts w:asciiTheme="majorBidi" w:hAnsiTheme="majorBidi" w:cstheme="majorBidi"/>
          <w:i/>
          <w:iCs/>
        </w:rPr>
      </w:pPr>
      <w:bookmarkStart w:id="0" w:name="_GoBack"/>
      <w:r w:rsidRPr="004A4A70">
        <w:rPr>
          <w:rFonts w:asciiTheme="majorBidi" w:hAnsiTheme="majorBidi" w:cstheme="majorBidi"/>
          <w:sz w:val="24"/>
          <w:szCs w:val="24"/>
        </w:rPr>
        <w:t xml:space="preserve">Notre travail porte sur la  modélisation et l’analyse expérimentale d’un écoulement de grilles qui se produit dans un canal vertical ouvert, de grandes dimensions. Un écoulement ascendant de convection libre est obtenu. Il résulte d’une action conjuguée entre les panaches thermiques issus des barreaux d’une grille chauffée et d’un effet d’aspiration de l'écoulement dans le canal. </w:t>
      </w:r>
      <w:r w:rsidRPr="004A4A70">
        <w:rPr>
          <w:rFonts w:asciiTheme="majorBidi" w:eastAsiaTheme="minorEastAsia" w:hAnsiTheme="majorBidi" w:cstheme="majorBidi"/>
          <w:sz w:val="24"/>
          <w:szCs w:val="24"/>
        </w:rPr>
        <w:t xml:space="preserve">La flottabilité est ici le seul moteur "thermique" responsable du mouvement. </w:t>
      </w:r>
      <w:r w:rsidRPr="004A4A70">
        <w:rPr>
          <w:rFonts w:asciiTheme="majorBidi" w:hAnsiTheme="majorBidi" w:cstheme="majorBidi"/>
          <w:sz w:val="24"/>
          <w:szCs w:val="24"/>
        </w:rPr>
        <w:t xml:space="preserve">Les nombres de Reynolds et de </w:t>
      </w:r>
      <w:proofErr w:type="gramStart"/>
      <w:r w:rsidRPr="004A4A70">
        <w:rPr>
          <w:rFonts w:asciiTheme="majorBidi" w:hAnsiTheme="majorBidi" w:cstheme="majorBidi"/>
          <w:sz w:val="24"/>
          <w:szCs w:val="24"/>
        </w:rPr>
        <w:t>Rayleigh  rapportés</w:t>
      </w:r>
      <w:proofErr w:type="gramEnd"/>
      <w:r w:rsidRPr="004A4A70">
        <w:rPr>
          <w:rFonts w:asciiTheme="majorBidi" w:hAnsiTheme="majorBidi" w:cstheme="majorBidi"/>
          <w:sz w:val="24"/>
          <w:szCs w:val="24"/>
        </w:rPr>
        <w:t xml:space="preserve"> à la dimension de la grille sont de l’ordre de </w:t>
      </w:r>
      <m:oMath>
        <m:sSup>
          <m:sSupPr>
            <m:ctrlPr>
              <w:rPr>
                <w:rFonts w:ascii="Cambria Math" w:hAnsi="Cambria Math" w:cstheme="majorBidi"/>
                <w:i/>
                <w:sz w:val="24"/>
                <w:szCs w:val="24"/>
              </w:rPr>
            </m:ctrlPr>
          </m:sSupPr>
          <m:e>
            <m:r>
              <w:rPr>
                <w:rFonts w:ascii="Cambria Math" w:hAnsi="Cambria Math" w:cstheme="majorBidi"/>
                <w:sz w:val="24"/>
                <w:szCs w:val="24"/>
              </w:rPr>
              <m:t>9</m:t>
            </m:r>
          </m:e>
          <m:sup>
            <m:r>
              <w:rPr>
                <w:rFonts w:ascii="Cambria Math" w:hAnsi="Cambria Math" w:cstheme="majorBidi"/>
                <w:sz w:val="24"/>
                <w:szCs w:val="24"/>
              </w:rPr>
              <m:t>4</m:t>
            </m:r>
          </m:sup>
        </m:sSup>
      </m:oMath>
      <w:r w:rsidRPr="004A4A70">
        <w:rPr>
          <w:rFonts w:asciiTheme="majorBidi" w:hAnsiTheme="majorBidi" w:cstheme="majorBidi"/>
          <w:sz w:val="24"/>
          <w:szCs w:val="24"/>
        </w:rPr>
        <w:t xml:space="preserve"> et </w:t>
      </w:r>
      <m:oMath>
        <m:sSup>
          <m:sSupPr>
            <m:ctrlPr>
              <w:rPr>
                <w:rFonts w:ascii="Cambria Math" w:hAnsi="Cambria Math" w:cstheme="majorBidi"/>
                <w:i/>
                <w:sz w:val="24"/>
                <w:szCs w:val="24"/>
              </w:rPr>
            </m:ctrlPr>
          </m:sSupPr>
          <m:e>
            <m:r>
              <w:rPr>
                <w:rFonts w:ascii="Cambria Math" w:hAnsi="Cambria Math" w:cstheme="majorBidi"/>
                <w:sz w:val="24"/>
                <w:szCs w:val="24"/>
              </w:rPr>
              <m:t>9</m:t>
            </m:r>
          </m:e>
          <m:sup>
            <m:r>
              <w:rPr>
                <w:rFonts w:ascii="Cambria Math" w:hAnsi="Cambria Math" w:cstheme="majorBidi"/>
                <w:sz w:val="24"/>
                <w:szCs w:val="24"/>
              </w:rPr>
              <m:t>11</m:t>
            </m:r>
          </m:sup>
        </m:sSup>
      </m:oMath>
      <w:r w:rsidRPr="004A4A70">
        <w:rPr>
          <w:rFonts w:asciiTheme="majorBidi" w:eastAsiaTheme="minorEastAsia" w:hAnsiTheme="majorBidi" w:cstheme="majorBidi"/>
          <w:sz w:val="24"/>
          <w:szCs w:val="24"/>
        </w:rPr>
        <w:t>, respectivement.</w:t>
      </w:r>
      <w:r w:rsidRPr="004A4A70">
        <w:rPr>
          <w:rFonts w:asciiTheme="majorBidi" w:hAnsiTheme="majorBidi" w:cstheme="majorBidi"/>
          <w:i/>
          <w:iCs/>
        </w:rPr>
        <w:t xml:space="preserve"> </w:t>
      </w:r>
      <w:r w:rsidRPr="004A4A70">
        <w:rPr>
          <w:rFonts w:asciiTheme="majorBidi" w:hAnsiTheme="majorBidi" w:cstheme="majorBidi"/>
          <w:sz w:val="24"/>
          <w:szCs w:val="24"/>
        </w:rPr>
        <w:t xml:space="preserve">Dans la zone d’écoulement pleinement développé en aval d’une grille de turbulence les champs moyens et turbulents, de vitesse et de température, sont analysés. </w:t>
      </w:r>
    </w:p>
    <w:p w:rsidR="00485B9F" w:rsidRPr="004A4A70" w:rsidRDefault="00485B9F" w:rsidP="004A4A70">
      <w:pPr>
        <w:pStyle w:val="corps-resume"/>
        <w:spacing w:before="240" w:line="360" w:lineRule="auto"/>
        <w:jc w:val="both"/>
        <w:rPr>
          <w:rFonts w:asciiTheme="majorBidi" w:hAnsiTheme="majorBidi" w:cstheme="majorBidi"/>
          <w:i w:val="0"/>
          <w:sz w:val="24"/>
          <w:szCs w:val="24"/>
        </w:rPr>
      </w:pPr>
      <w:r w:rsidRPr="004A4A70">
        <w:rPr>
          <w:rFonts w:asciiTheme="majorBidi" w:hAnsiTheme="majorBidi" w:cstheme="majorBidi"/>
          <w:i w:val="0"/>
          <w:sz w:val="24"/>
          <w:szCs w:val="24"/>
        </w:rPr>
        <w:t xml:space="preserve">Malgré son apparente simplicité, la convection turbulente libre cache une grande complexité que les groupes de recherches n’ont pas fini de décoder. Prédire les caractéristiques d’un scalaire transporté par un écoulement turbulent </w:t>
      </w:r>
      <w:proofErr w:type="gramStart"/>
      <w:r w:rsidRPr="004A4A70">
        <w:rPr>
          <w:rFonts w:asciiTheme="majorBidi" w:hAnsiTheme="majorBidi" w:cstheme="majorBidi"/>
          <w:i w:val="0"/>
          <w:sz w:val="24"/>
          <w:szCs w:val="24"/>
        </w:rPr>
        <w:t>telle</w:t>
      </w:r>
      <w:proofErr w:type="gramEnd"/>
      <w:r w:rsidRPr="004A4A70">
        <w:rPr>
          <w:rFonts w:asciiTheme="majorBidi" w:hAnsiTheme="majorBidi" w:cstheme="majorBidi"/>
          <w:i w:val="0"/>
          <w:sz w:val="24"/>
          <w:szCs w:val="24"/>
        </w:rPr>
        <w:t xml:space="preserve"> que la température reste un défi à relever. Plusieurs études sur le transport des  variances de vitesse et de température ont été menées en convection forcée, mais à notre connaissance très peu d’études ont été conduites en convection turbulente libre. Dans le présent travail, </w:t>
      </w:r>
      <w:r w:rsidRPr="004A4A70">
        <w:rPr>
          <w:rFonts w:asciiTheme="majorBidi" w:hAnsiTheme="majorBidi" w:cstheme="majorBidi"/>
          <w:i w:val="0"/>
          <w:iCs w:val="0"/>
          <w:sz w:val="24"/>
          <w:szCs w:val="24"/>
        </w:rPr>
        <w:t>nous recherchons dans quelle mesure la structure</w:t>
      </w:r>
      <w:r w:rsidRPr="004A4A70">
        <w:rPr>
          <w:rFonts w:asciiTheme="majorBidi" w:hAnsiTheme="majorBidi" w:cstheme="majorBidi"/>
          <w:i w:val="0"/>
          <w:sz w:val="24"/>
          <w:szCs w:val="24"/>
        </w:rPr>
        <w:t xml:space="preserve"> </w:t>
      </w:r>
      <w:r w:rsidRPr="004A4A70">
        <w:rPr>
          <w:rFonts w:asciiTheme="majorBidi" w:hAnsiTheme="majorBidi" w:cstheme="majorBidi"/>
          <w:i w:val="0"/>
          <w:iCs w:val="0"/>
          <w:sz w:val="24"/>
          <w:szCs w:val="24"/>
        </w:rPr>
        <w:t xml:space="preserve">de l'écoulement étudié est comparable à celle de la convection forcée. </w:t>
      </w:r>
      <w:r w:rsidRPr="004A4A70">
        <w:rPr>
          <w:rFonts w:asciiTheme="majorBidi" w:hAnsiTheme="majorBidi" w:cstheme="majorBidi"/>
          <w:i w:val="0"/>
          <w:sz w:val="24"/>
          <w:szCs w:val="24"/>
        </w:rPr>
        <w:t xml:space="preserve">À savoir en particulier si la décroissance de la turbulence de grille habituellement observée en convection forcée se reproduit en convection naturelle. Vérifier s’il existe une similitude exprimée en lois de puissance entre les deux types d’écoulement. </w:t>
      </w:r>
    </w:p>
    <w:p w:rsidR="00485B9F" w:rsidRPr="004A4A70" w:rsidRDefault="00485B9F" w:rsidP="004A4A70">
      <w:pPr>
        <w:pStyle w:val="corps-resume"/>
        <w:spacing w:line="360" w:lineRule="auto"/>
        <w:jc w:val="both"/>
        <w:rPr>
          <w:rFonts w:asciiTheme="majorBidi" w:eastAsiaTheme="minorEastAsia" w:hAnsiTheme="majorBidi" w:cstheme="majorBidi"/>
          <w:i w:val="0"/>
          <w:sz w:val="24"/>
          <w:szCs w:val="24"/>
        </w:rPr>
      </w:pPr>
      <w:r w:rsidRPr="004A4A70">
        <w:rPr>
          <w:rFonts w:asciiTheme="majorBidi" w:eastAsiaTheme="minorEastAsia" w:hAnsiTheme="majorBidi" w:cstheme="majorBidi"/>
          <w:i w:val="0"/>
          <w:sz w:val="24"/>
          <w:szCs w:val="24"/>
        </w:rPr>
        <w:t>Les caractéristiques statistiques, dynamiques et thermiques de l’écoulement sont présentées. Une croissance des énergies  de turbulence loin en aval de la grille est observée. De ce fait, le déclin de la turbulence usuellement rencontré en convection forcée n’est pas retrouvé. Les raisons à l’origine de cette dissimilitude ont été identifiées et exposées dans le présent travail.</w:t>
      </w:r>
      <w:r w:rsidRPr="004A4A70">
        <w:rPr>
          <w:rFonts w:asciiTheme="majorBidi" w:eastAsiaTheme="minorEastAsia" w:hAnsiTheme="majorBidi" w:cstheme="majorBidi"/>
          <w:sz w:val="24"/>
          <w:szCs w:val="24"/>
        </w:rPr>
        <w:t xml:space="preserve"> </w:t>
      </w:r>
    </w:p>
    <w:p w:rsidR="00485B9F" w:rsidRPr="004A4A70" w:rsidRDefault="00485B9F" w:rsidP="004A4A70">
      <w:pPr>
        <w:pStyle w:val="corps-resume"/>
        <w:spacing w:line="360" w:lineRule="auto"/>
        <w:jc w:val="both"/>
        <w:rPr>
          <w:rFonts w:asciiTheme="majorBidi" w:hAnsiTheme="majorBidi" w:cstheme="majorBidi"/>
          <w:i w:val="0"/>
          <w:sz w:val="24"/>
          <w:szCs w:val="24"/>
        </w:rPr>
      </w:pPr>
      <w:r w:rsidRPr="004A4A70">
        <w:rPr>
          <w:rFonts w:asciiTheme="majorBidi" w:hAnsiTheme="majorBidi" w:cstheme="majorBidi"/>
          <w:i w:val="0"/>
          <w:sz w:val="24"/>
          <w:szCs w:val="24"/>
        </w:rPr>
        <w:t xml:space="preserve">        Le nouveau modèle d'écriture </w:t>
      </w:r>
      <w:proofErr w:type="spellStart"/>
      <w:r w:rsidRPr="004A4A70">
        <w:rPr>
          <w:rFonts w:asciiTheme="majorBidi" w:hAnsiTheme="majorBidi" w:cstheme="majorBidi"/>
          <w:i w:val="0"/>
          <w:sz w:val="24"/>
          <w:szCs w:val="24"/>
        </w:rPr>
        <w:t>polytropique</w:t>
      </w:r>
      <w:proofErr w:type="spellEnd"/>
      <w:r w:rsidRPr="004A4A70">
        <w:rPr>
          <w:rFonts w:asciiTheme="majorBidi" w:hAnsiTheme="majorBidi" w:cstheme="majorBidi"/>
          <w:i w:val="0"/>
          <w:sz w:val="24"/>
          <w:szCs w:val="24"/>
        </w:rPr>
        <w:t xml:space="preserve"> des liaisons therm</w:t>
      </w:r>
      <w:r w:rsidRPr="004A4A70">
        <w:rPr>
          <w:rFonts w:asciiTheme="majorBidi" w:hAnsiTheme="majorBidi" w:cstheme="majorBidi"/>
          <w:i w:val="0"/>
          <w:sz w:val="24"/>
          <w:szCs w:val="24"/>
        </w:rPr>
        <w:softHyphen/>
        <w:t>od</w:t>
      </w:r>
      <w:r w:rsidRPr="004A4A70">
        <w:rPr>
          <w:rFonts w:asciiTheme="majorBidi" w:hAnsiTheme="majorBidi" w:cstheme="majorBidi"/>
          <w:i w:val="0"/>
          <w:sz w:val="24"/>
          <w:szCs w:val="24"/>
        </w:rPr>
        <w:softHyphen/>
        <w:t>y</w:t>
      </w:r>
      <w:r w:rsidRPr="004A4A70">
        <w:rPr>
          <w:rFonts w:asciiTheme="majorBidi" w:hAnsiTheme="majorBidi" w:cstheme="majorBidi"/>
          <w:i w:val="0"/>
          <w:sz w:val="24"/>
          <w:szCs w:val="24"/>
        </w:rPr>
        <w:softHyphen/>
        <w:t xml:space="preserve">namiques locales entre les grandeurs d'état a permis de réécrire un système simplifié des équations statistiques du type </w:t>
      </w:r>
      <m:oMath>
        <m:r>
          <w:rPr>
            <w:rFonts w:ascii="Cambria Math" w:hAnsi="Cambria Math" w:cstheme="majorBidi"/>
            <w:sz w:val="24"/>
            <w:szCs w:val="24"/>
          </w:rPr>
          <m:t>k-ε</m:t>
        </m:r>
      </m:oMath>
      <w:r w:rsidRPr="004A4A70">
        <w:rPr>
          <w:rFonts w:asciiTheme="majorBidi" w:hAnsiTheme="majorBidi" w:cstheme="majorBidi"/>
          <w:i w:val="0"/>
          <w:sz w:val="24"/>
          <w:szCs w:val="24"/>
        </w:rPr>
        <w:t xml:space="preserve">. Cette nouvelle modélisation permet de  s’approcher au mieux d’une réelle prise en compte de la phénoménologie des écoulements de gaz chauffés. Les hypothèses qui fondent le modèle sont évaluées par l'expérience. Sa pertinence est illustrée par le calcul des signaux </w:t>
      </w:r>
      <w:r w:rsidRPr="004A4A70">
        <w:rPr>
          <w:rFonts w:asciiTheme="majorBidi" w:hAnsiTheme="majorBidi" w:cstheme="majorBidi"/>
          <w:i w:val="0"/>
          <w:sz w:val="24"/>
          <w:szCs w:val="24"/>
        </w:rPr>
        <w:lastRenderedPageBreak/>
        <w:t xml:space="preserve">instantanés de pression déduits des signaux de température. Ainsi, des perspectives s'ouvrent pour la validation des modèles de fermeture des écoulements turbulents de convection naturelle. </w:t>
      </w:r>
    </w:p>
    <w:p w:rsidR="00485B9F" w:rsidRPr="004A4A70" w:rsidRDefault="00485B9F" w:rsidP="004A4A70">
      <w:pPr>
        <w:spacing w:line="360" w:lineRule="auto"/>
        <w:rPr>
          <w:rFonts w:asciiTheme="majorBidi" w:hAnsiTheme="majorBidi" w:cstheme="majorBidi"/>
        </w:rPr>
      </w:pPr>
    </w:p>
    <w:p w:rsidR="00485B9F" w:rsidRPr="004A4A70" w:rsidRDefault="00485B9F" w:rsidP="004A4A70">
      <w:pPr>
        <w:tabs>
          <w:tab w:val="left" w:pos="7126"/>
        </w:tabs>
        <w:spacing w:line="360" w:lineRule="auto"/>
        <w:rPr>
          <w:rFonts w:asciiTheme="majorBidi" w:hAnsiTheme="majorBidi" w:cstheme="majorBidi"/>
        </w:rPr>
      </w:pPr>
      <w:r w:rsidRPr="004A4A70">
        <w:rPr>
          <w:rFonts w:asciiTheme="majorBidi" w:hAnsiTheme="majorBidi" w:cstheme="majorBidi"/>
        </w:rPr>
        <w:tab/>
      </w:r>
    </w:p>
    <w:p w:rsidR="00485B9F" w:rsidRPr="004A4A70" w:rsidRDefault="00485B9F" w:rsidP="004A4A70">
      <w:pPr>
        <w:spacing w:line="360" w:lineRule="auto"/>
        <w:rPr>
          <w:rFonts w:asciiTheme="majorBidi" w:hAnsiTheme="majorBidi" w:cstheme="majorBidi"/>
        </w:rPr>
      </w:pPr>
    </w:p>
    <w:bookmarkEnd w:id="0"/>
    <w:p w:rsidR="008F7D4E" w:rsidRPr="004A4A70" w:rsidRDefault="008F7D4E" w:rsidP="004A4A70">
      <w:pPr>
        <w:spacing w:line="360" w:lineRule="auto"/>
        <w:rPr>
          <w:rFonts w:asciiTheme="majorBidi" w:hAnsiTheme="majorBidi" w:cstheme="majorBidi"/>
        </w:rPr>
      </w:pPr>
    </w:p>
    <w:sectPr w:rsidR="008F7D4E" w:rsidRPr="004A4A70" w:rsidSect="00F07C36">
      <w:headerReference w:type="first" r:id="rId6"/>
      <w:footerReference w:type="first" r:id="rId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449D6" w:rsidRDefault="006449D6">
      <w:pPr>
        <w:spacing w:after="0" w:line="240" w:lineRule="auto"/>
      </w:pPr>
      <w:r>
        <w:separator/>
      </w:r>
    </w:p>
  </w:endnote>
  <w:endnote w:type="continuationSeparator" w:id="0">
    <w:p w:rsidR="006449D6" w:rsidRDefault="006449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aramond">
    <w:panose1 w:val="020204040303010108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54C8" w:rsidRDefault="006449D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449D6" w:rsidRDefault="006449D6">
      <w:pPr>
        <w:spacing w:after="0" w:line="240" w:lineRule="auto"/>
      </w:pPr>
      <w:r>
        <w:separator/>
      </w:r>
    </w:p>
  </w:footnote>
  <w:footnote w:type="continuationSeparator" w:id="0">
    <w:p w:rsidR="006449D6" w:rsidRDefault="006449D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054C8" w:rsidRDefault="006449D6">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B9F"/>
    <w:rsid w:val="00485B9F"/>
    <w:rsid w:val="004A4A70"/>
    <w:rsid w:val="006449D6"/>
    <w:rsid w:val="008F7D4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1000D20-4196-43D9-AE5F-5C0B9B08D3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5B9F"/>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85B9F"/>
    <w:pPr>
      <w:tabs>
        <w:tab w:val="center" w:pos="4536"/>
        <w:tab w:val="right" w:pos="9072"/>
      </w:tabs>
      <w:spacing w:after="0" w:line="240" w:lineRule="auto"/>
    </w:pPr>
  </w:style>
  <w:style w:type="character" w:customStyle="1" w:styleId="En-tteCar">
    <w:name w:val="En-tête Car"/>
    <w:basedOn w:val="Policepardfaut"/>
    <w:link w:val="En-tte"/>
    <w:uiPriority w:val="99"/>
    <w:rsid w:val="00485B9F"/>
  </w:style>
  <w:style w:type="paragraph" w:styleId="Pieddepage">
    <w:name w:val="footer"/>
    <w:basedOn w:val="Normal"/>
    <w:link w:val="PieddepageCar"/>
    <w:uiPriority w:val="99"/>
    <w:unhideWhenUsed/>
    <w:rsid w:val="00485B9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85B9F"/>
  </w:style>
  <w:style w:type="paragraph" w:customStyle="1" w:styleId="corps-resume">
    <w:name w:val="corps-resume"/>
    <w:basedOn w:val="Normal"/>
    <w:rsid w:val="00485B9F"/>
    <w:pPr>
      <w:spacing w:after="400" w:line="240" w:lineRule="auto"/>
    </w:pPr>
    <w:rPr>
      <w:rFonts w:ascii="Garamond" w:eastAsia="SimSun" w:hAnsi="Garamond" w:cs="Times New Roman"/>
      <w:i/>
      <w:iCs/>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415</Words>
  <Characters>2283</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hgh</dc:creator>
  <cp:keywords/>
  <dc:description/>
  <cp:lastModifiedBy>naima</cp:lastModifiedBy>
  <cp:revision>2</cp:revision>
  <dcterms:created xsi:type="dcterms:W3CDTF">2018-01-24T15:17:00Z</dcterms:created>
  <dcterms:modified xsi:type="dcterms:W3CDTF">2018-05-09T09:50:00Z</dcterms:modified>
</cp:coreProperties>
</file>