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6C2" w:rsidRDefault="006916C2" w:rsidP="006916C2">
      <w:pPr>
        <w:pStyle w:val="Style3"/>
        <w:widowControl/>
        <w:spacing w:line="360" w:lineRule="auto"/>
        <w:ind w:right="10"/>
        <w:rPr>
          <w:rStyle w:val="FontStyle12"/>
          <w:lang w:val="fr-FR"/>
        </w:rPr>
      </w:pPr>
    </w:p>
    <w:p w:rsidR="00461375" w:rsidRDefault="00B76380" w:rsidP="006916C2">
      <w:pPr>
        <w:pStyle w:val="Style3"/>
        <w:widowControl/>
        <w:spacing w:line="360" w:lineRule="auto"/>
        <w:ind w:right="10"/>
        <w:rPr>
          <w:rStyle w:val="FontStyle12"/>
          <w:lang w:val="fr-FR"/>
        </w:rPr>
      </w:pPr>
      <w:r>
        <w:rPr>
          <w:rStyle w:val="FontStyle12"/>
          <w:lang w:val="fr-FR"/>
        </w:rPr>
        <w:t>Dans le cadre de cette étude, nous nous proposons d'améliorer la miscibilité des paires de polymères poly (Méthacrylate d'Ethyle)</w:t>
      </w:r>
      <w:r w:rsidRPr="00722940">
        <w:rPr>
          <w:rStyle w:val="FontStyle12"/>
          <w:lang w:val="fr-FR"/>
        </w:rPr>
        <w:t xml:space="preserve"> /</w:t>
      </w:r>
      <w:r>
        <w:rPr>
          <w:rStyle w:val="FontStyle12"/>
          <w:lang w:val="fr-FR"/>
        </w:rPr>
        <w:t xml:space="preserve"> poly (Styrène) (PME/PS), et poly (Acrylate d'Ethyle)</w:t>
      </w:r>
      <w:r w:rsidRPr="00722940">
        <w:rPr>
          <w:rStyle w:val="FontStyle12"/>
          <w:lang w:val="fr-FR"/>
        </w:rPr>
        <w:t xml:space="preserve"> /</w:t>
      </w:r>
      <w:r>
        <w:rPr>
          <w:rStyle w:val="FontStyle12"/>
          <w:lang w:val="fr-FR"/>
        </w:rPr>
        <w:t xml:space="preserve"> poly (Styrène)</w:t>
      </w:r>
      <w:r w:rsidRPr="00722940">
        <w:rPr>
          <w:rStyle w:val="FontStyle12"/>
          <w:lang w:val="fr-FR"/>
        </w:rPr>
        <w:t xml:space="preserve"> (PEA/</w:t>
      </w:r>
      <w:r>
        <w:rPr>
          <w:rStyle w:val="FontStyle12"/>
          <w:lang w:val="fr-FR"/>
        </w:rPr>
        <w:t>PS</w:t>
      </w:r>
      <w:r w:rsidRPr="00722940">
        <w:rPr>
          <w:rStyle w:val="FontStyle12"/>
          <w:lang w:val="fr-FR"/>
        </w:rPr>
        <w:t xml:space="preserve"> ),</w:t>
      </w:r>
      <w:r>
        <w:rPr>
          <w:rStyle w:val="FontStyle12"/>
          <w:lang w:val="fr-FR"/>
        </w:rPr>
        <w:t xml:space="preserve"> en y introduisant des groupements fonctionnels antagonistes susceptibles de développer des interactions spécifiques entre les constituants de chacun de ces deux binaires.</w:t>
      </w:r>
    </w:p>
    <w:p w:rsidR="00461375" w:rsidRPr="00722940" w:rsidRDefault="00B76380" w:rsidP="006916C2">
      <w:pPr>
        <w:pStyle w:val="Style2"/>
        <w:widowControl/>
        <w:spacing w:before="182" w:line="360" w:lineRule="auto"/>
        <w:ind w:firstLine="696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 xml:space="preserve">La modification de ces polymères est effectuée par copolymérisation radicalaire en solution du Styrène avec le comonomère acide Paracarboxystyrène et des Méthacrylate d'Ethyle et Acrylate d'Ethyle avec les comonomères basiques 4-Vinylpyridine (V4P) ou Méthacrylate du 2-[N, N diméthylamino] éthyle </w:t>
      </w:r>
      <w:r w:rsidRPr="00722940">
        <w:rPr>
          <w:rStyle w:val="FontStyle12"/>
          <w:lang w:val="fr-FR" w:eastAsia="fr-FR"/>
        </w:rPr>
        <w:t>(MAD).</w:t>
      </w:r>
    </w:p>
    <w:p w:rsidR="00461375" w:rsidRDefault="00B76380" w:rsidP="006B7B94">
      <w:pPr>
        <w:pStyle w:val="Style2"/>
        <w:widowControl/>
        <w:spacing w:before="197" w:line="360" w:lineRule="auto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La nature des systèmes binaires poly (Acrylate d'Ethyle)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poly (Styrène-co-Acide Paracarboxystyrène) (PEA/PSPCS), poly (Méthacrylate d'Ethyle)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poly </w:t>
      </w:r>
      <w:r w:rsidRPr="00722940">
        <w:rPr>
          <w:rStyle w:val="FontStyle12"/>
          <w:lang w:val="fr-FR" w:eastAsia="fr-FR"/>
        </w:rPr>
        <w:t>(</w:t>
      </w:r>
      <w:r>
        <w:rPr>
          <w:rStyle w:val="FontStyle12"/>
          <w:lang w:val="fr-FR" w:eastAsia="fr-FR"/>
        </w:rPr>
        <w:t xml:space="preserve"> Styrène-co-Acide Paracarboxystyrène</w:t>
      </w:r>
      <w:r w:rsidRPr="00722940">
        <w:rPr>
          <w:rStyle w:val="FontStyle12"/>
          <w:lang w:val="fr-FR" w:eastAsia="fr-FR"/>
        </w:rPr>
        <w:t xml:space="preserve"> )</w:t>
      </w:r>
      <w:r>
        <w:rPr>
          <w:rStyle w:val="FontStyle12"/>
          <w:lang w:val="fr-FR" w:eastAsia="fr-FR"/>
        </w:rPr>
        <w:t xml:space="preserve"> (PME/PSPCS), poly (Acrylate d'Ethyle-</w:t>
      </w:r>
      <w:r w:rsidRPr="00722940">
        <w:rPr>
          <w:rStyle w:val="FontStyle12"/>
          <w:lang w:val="fr-FR" w:eastAsia="fr-FR"/>
        </w:rPr>
        <w:t>co-4-Vinylpyridine) /</w:t>
      </w:r>
      <w:r>
        <w:rPr>
          <w:rStyle w:val="FontStyle12"/>
          <w:lang w:val="fr-FR" w:eastAsia="fr-FR"/>
        </w:rPr>
        <w:t xml:space="preserve"> poly (Styrène-coAcide Paracarboxystyrène) (PEAV4P)</w:t>
      </w:r>
      <w:r w:rsidRPr="00722940">
        <w:rPr>
          <w:rStyle w:val="FontStyle12"/>
          <w:lang w:val="fr-FR" w:eastAsia="fr-FR"/>
        </w:rPr>
        <w:t xml:space="preserve"> / </w:t>
      </w:r>
      <w:r>
        <w:rPr>
          <w:rStyle w:val="FontStyle12"/>
          <w:lang w:val="fr-FR" w:eastAsia="fr-FR"/>
        </w:rPr>
        <w:t>(PSPCS), poly (Méthacrylate d'Ethyle-c</w:t>
      </w:r>
      <w:r w:rsidR="004F44D6">
        <w:rPr>
          <w:rStyle w:val="FontStyle12"/>
          <w:lang w:val="fr-FR" w:eastAsia="fr-FR"/>
        </w:rPr>
        <w:t>o</w:t>
      </w:r>
      <w:r>
        <w:rPr>
          <w:rStyle w:val="FontStyle12"/>
          <w:lang w:val="fr-FR" w:eastAsia="fr-FR"/>
        </w:rPr>
        <w:t>-4-Vinylpyridine)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poly (Styrène-co Acide Paracarboxystyrène) (PMEV4P)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PSPCS), poly(Acrylate d'Ethyle-co-Méthacrylate du 2-[N,N diméthylamino] éthyle)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poly(Styrène-coAcide Paracarboxystyrène) (PEAMAD)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PSPCS) et poly (Méthacrylate d'Ethyle-co-Méthacrylate du 2-[N,N diméthylamino] éthyle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poly(Styrène-co-Acide Paracarboxystyrène) (PMEMAD)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(PSPCS), a été examinée à partir des températures de transition vitreuse déte</w:t>
      </w:r>
      <w:r w:rsidR="006B7B94">
        <w:rPr>
          <w:rStyle w:val="FontStyle12"/>
          <w:lang w:val="fr-FR" w:eastAsia="fr-FR"/>
        </w:rPr>
        <w:t>rmin</w:t>
      </w:r>
      <w:r>
        <w:rPr>
          <w:rStyle w:val="FontStyle12"/>
          <w:lang w:val="fr-FR" w:eastAsia="fr-FR"/>
        </w:rPr>
        <w:t>ées par CPG1 et</w:t>
      </w:r>
      <w:r w:rsidRPr="00722940">
        <w:rPr>
          <w:rStyle w:val="FontStyle12"/>
          <w:lang w:val="fr-FR" w:eastAsia="fr-FR"/>
        </w:rPr>
        <w:t xml:space="preserve"> /</w:t>
      </w:r>
      <w:r>
        <w:rPr>
          <w:rStyle w:val="FontStyle12"/>
          <w:lang w:val="fr-FR" w:eastAsia="fr-FR"/>
        </w:rPr>
        <w:t xml:space="preserve"> ou DSC.</w:t>
      </w:r>
    </w:p>
    <w:p w:rsidR="00461375" w:rsidRDefault="00B76380" w:rsidP="006916C2">
      <w:pPr>
        <w:pStyle w:val="Style2"/>
        <w:widowControl/>
        <w:spacing w:line="360" w:lineRule="auto"/>
        <w:ind w:right="10" w:firstLine="696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 xml:space="preserve">La présence d'interactions spécifiques de type liaison Hydrogène dans les systèmes étudiés a été mise en évidence par exploitation des valeurs des températures de transition vitreuse déterminées par DSC, utilisant les approches théoriques de Kwei </w:t>
      </w:r>
      <w:r>
        <w:rPr>
          <w:rStyle w:val="FontStyle12"/>
          <w:vertAlign w:val="superscript"/>
          <w:lang w:val="fr-FR" w:eastAsia="fr-FR"/>
        </w:rPr>
        <w:t>[86]</w:t>
      </w:r>
      <w:r>
        <w:rPr>
          <w:rStyle w:val="FontStyle12"/>
          <w:lang w:val="fr-FR" w:eastAsia="fr-FR"/>
        </w:rPr>
        <w:t xml:space="preserve"> et de Schneider </w:t>
      </w:r>
      <w:r w:rsidR="004F44D6">
        <w:rPr>
          <w:rStyle w:val="FontStyle12"/>
          <w:spacing w:val="-10"/>
          <w:vertAlign w:val="superscript"/>
          <w:lang w:val="fr-FR" w:eastAsia="fr-FR"/>
        </w:rPr>
        <w:t>[</w:t>
      </w:r>
      <w:r>
        <w:rPr>
          <w:rStyle w:val="FontStyle12"/>
          <w:spacing w:val="-10"/>
          <w:vertAlign w:val="superscript"/>
          <w:lang w:val="fr-FR" w:eastAsia="fr-FR"/>
        </w:rPr>
        <w:t>87-89</w:t>
      </w:r>
      <w:r w:rsidR="004F44D6">
        <w:rPr>
          <w:rStyle w:val="FontStyle12"/>
          <w:spacing w:val="-10"/>
          <w:vertAlign w:val="superscript"/>
          <w:lang w:val="fr-FR" w:eastAsia="fr-FR"/>
        </w:rPr>
        <w:t>]</w:t>
      </w:r>
      <w:r>
        <w:rPr>
          <w:rStyle w:val="FontStyle12"/>
          <w:lang w:val="fr-FR" w:eastAsia="fr-FR"/>
        </w:rPr>
        <w:t xml:space="preserve"> et qualitativement par spectroscopie FTIR.</w:t>
      </w:r>
    </w:p>
    <w:p w:rsidR="00722940" w:rsidRDefault="00B76380" w:rsidP="006916C2">
      <w:pPr>
        <w:pStyle w:val="Style2"/>
        <w:widowControl/>
        <w:spacing w:before="173" w:line="360" w:lineRule="auto"/>
        <w:ind w:firstLine="701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 xml:space="preserve">La Chromatographie en Phase Gazeuse Inverse, sous sa forme gaz-liquide, a permis, dans la zone d'équilibre thermodynamique, à travers la détermination du paramètre d'interaction polymère-polymère, de quantifier l'intensité des interactions spécifiques existant entre les constituants des mélanges </w:t>
      </w:r>
      <w:r>
        <w:rPr>
          <w:rStyle w:val="FontStyle12"/>
          <w:spacing w:val="-10"/>
          <w:lang w:val="fr-FR" w:eastAsia="fr-FR"/>
        </w:rPr>
        <w:t>PM</w:t>
      </w:r>
      <w:r w:rsidR="004F44D6">
        <w:rPr>
          <w:rStyle w:val="FontStyle12"/>
          <w:spacing w:val="-10"/>
          <w:lang w:val="fr-FR" w:eastAsia="fr-FR"/>
        </w:rPr>
        <w:t>E/</w:t>
      </w:r>
      <w:r>
        <w:rPr>
          <w:rStyle w:val="FontStyle12"/>
          <w:spacing w:val="-10"/>
          <w:lang w:val="fr-FR" w:eastAsia="fr-FR"/>
        </w:rPr>
        <w:t>PSPCS-3,</w:t>
      </w:r>
      <w:r>
        <w:rPr>
          <w:rStyle w:val="FontStyle12"/>
          <w:lang w:val="fr-FR" w:eastAsia="fr-FR"/>
        </w:rPr>
        <w:t xml:space="preserve"> PMEV4P/PSPCS-3 et PMEMAD/PSPCS-3.</w:t>
      </w:r>
    </w:p>
    <w:sectPr w:rsidR="00722940" w:rsidSect="006916C2">
      <w:headerReference w:type="default" r:id="rId6"/>
      <w:headerReference w:type="first" r:id="rId7"/>
      <w:pgSz w:w="11905" w:h="16837"/>
      <w:pgMar w:top="399" w:right="848" w:bottom="1440" w:left="113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2F9C" w:rsidRDefault="00622F9C">
      <w:r>
        <w:separator/>
      </w:r>
    </w:p>
  </w:endnote>
  <w:endnote w:type="continuationSeparator" w:id="1">
    <w:p w:rsidR="00622F9C" w:rsidRDefault="00622F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2F9C" w:rsidRDefault="00622F9C">
      <w:r>
        <w:separator/>
      </w:r>
    </w:p>
  </w:footnote>
  <w:footnote w:type="continuationSeparator" w:id="1">
    <w:p w:rsidR="00622F9C" w:rsidRDefault="00622F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5" w:rsidRDefault="00461375">
    <w:pPr>
      <w:widowControl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5" w:rsidRDefault="00B76380">
    <w:pPr>
      <w:pStyle w:val="Style1"/>
      <w:widowControl/>
      <w:ind w:right="34"/>
      <w:jc w:val="right"/>
      <w:rPr>
        <w:rStyle w:val="FontStyle11"/>
      </w:rPr>
    </w:pPr>
    <w:r>
      <w:rPr>
        <w:rStyle w:val="FontStyle11"/>
      </w:rPr>
      <w:t>Introduction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722940"/>
    <w:rsid w:val="000578FF"/>
    <w:rsid w:val="00461375"/>
    <w:rsid w:val="004F44D6"/>
    <w:rsid w:val="00622F9C"/>
    <w:rsid w:val="006916C2"/>
    <w:rsid w:val="006B7B94"/>
    <w:rsid w:val="00722940"/>
    <w:rsid w:val="00B76380"/>
    <w:rsid w:val="00D02F83"/>
    <w:rsid w:val="00EA696D"/>
    <w:rsid w:val="00F31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1375"/>
    <w:pPr>
      <w:widowControl w:val="0"/>
      <w:autoSpaceDE w:val="0"/>
      <w:autoSpaceDN w:val="0"/>
      <w:adjustRightInd w:val="0"/>
      <w:spacing w:after="0" w:line="240" w:lineRule="auto"/>
    </w:pPr>
    <w:rPr>
      <w:rFonts w:hAnsi="Verdana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461375"/>
  </w:style>
  <w:style w:type="paragraph" w:customStyle="1" w:styleId="Style2">
    <w:name w:val="Style2"/>
    <w:basedOn w:val="Normal"/>
    <w:uiPriority w:val="99"/>
    <w:rsid w:val="00461375"/>
    <w:pPr>
      <w:spacing w:line="426" w:lineRule="exact"/>
      <w:ind w:firstLine="691"/>
      <w:jc w:val="both"/>
    </w:pPr>
  </w:style>
  <w:style w:type="paragraph" w:customStyle="1" w:styleId="Style3">
    <w:name w:val="Style3"/>
    <w:basedOn w:val="Normal"/>
    <w:uiPriority w:val="99"/>
    <w:rsid w:val="00461375"/>
    <w:pPr>
      <w:spacing w:line="434" w:lineRule="exact"/>
      <w:ind w:firstLine="312"/>
      <w:jc w:val="both"/>
    </w:pPr>
  </w:style>
  <w:style w:type="character" w:customStyle="1" w:styleId="FontStyle11">
    <w:name w:val="Font Style11"/>
    <w:basedOn w:val="Policepardfaut"/>
    <w:uiPriority w:val="99"/>
    <w:rsid w:val="00461375"/>
    <w:rPr>
      <w:rFonts w:ascii="Verdana" w:hAnsi="Verdana" w:cs="Verdana"/>
      <w:i/>
      <w:iCs/>
      <w:sz w:val="18"/>
      <w:szCs w:val="18"/>
      <w:lang w:bidi="ar-SA"/>
    </w:rPr>
  </w:style>
  <w:style w:type="character" w:customStyle="1" w:styleId="FontStyle12">
    <w:name w:val="Font Style12"/>
    <w:basedOn w:val="Policepardfaut"/>
    <w:uiPriority w:val="99"/>
    <w:rsid w:val="00461375"/>
    <w:rPr>
      <w:rFonts w:ascii="Times New Roman" w:hAnsi="Times New Roman" w:cs="Times New Roman"/>
      <w:sz w:val="24"/>
      <w:szCs w:val="24"/>
      <w:lang w:bidi="ar-SA"/>
    </w:rPr>
  </w:style>
  <w:style w:type="character" w:customStyle="1" w:styleId="FontStyle13">
    <w:name w:val="Font Style13"/>
    <w:basedOn w:val="Policepardfaut"/>
    <w:uiPriority w:val="99"/>
    <w:rsid w:val="00461375"/>
    <w:rPr>
      <w:rFonts w:ascii="Candara" w:hAnsi="Candara" w:cs="Candara"/>
      <w:i/>
      <w:iCs/>
      <w:sz w:val="22"/>
      <w:szCs w:val="22"/>
      <w:lang w:bidi="ar-SA"/>
    </w:rPr>
  </w:style>
  <w:style w:type="character" w:styleId="Lienhypertexte">
    <w:name w:val="Hyperlink"/>
    <w:basedOn w:val="Policepardfaut"/>
    <w:uiPriority w:val="99"/>
    <w:rsid w:val="00461375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321</Words>
  <Characters>1830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6</cp:revision>
  <dcterms:created xsi:type="dcterms:W3CDTF">2017-01-15T10:53:00Z</dcterms:created>
  <dcterms:modified xsi:type="dcterms:W3CDTF">2017-01-15T11:18:00Z</dcterms:modified>
</cp:coreProperties>
</file>