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C2" w:rsidRDefault="006916C2" w:rsidP="006916C2">
      <w:pPr>
        <w:pStyle w:val="Style3"/>
        <w:widowControl/>
        <w:spacing w:line="360" w:lineRule="auto"/>
        <w:ind w:right="10"/>
        <w:rPr>
          <w:rStyle w:val="FontStyle12"/>
          <w:lang w:val="fr-FR"/>
        </w:rPr>
      </w:pPr>
    </w:p>
    <w:p w:rsidR="00461375" w:rsidRDefault="00B76380" w:rsidP="006916C2">
      <w:pPr>
        <w:pStyle w:val="Style3"/>
        <w:widowControl/>
        <w:spacing w:line="360" w:lineRule="auto"/>
        <w:ind w:right="10"/>
        <w:rPr>
          <w:rStyle w:val="FontStyle12"/>
          <w:lang w:val="fr-FR"/>
        </w:rPr>
      </w:pPr>
      <w:r>
        <w:rPr>
          <w:rStyle w:val="FontStyle12"/>
          <w:lang w:val="fr-FR"/>
        </w:rPr>
        <w:t>Dans le cadre de cette étude, nous nous proposons d'améliorer la miscibilité des paires de polymères poly (Méthacrylate d'Ethyle)</w:t>
      </w:r>
      <w:r w:rsidRPr="00722940">
        <w:rPr>
          <w:rStyle w:val="FontStyle12"/>
          <w:lang w:val="fr-FR"/>
        </w:rPr>
        <w:t xml:space="preserve"> /</w:t>
      </w:r>
      <w:r>
        <w:rPr>
          <w:rStyle w:val="FontStyle12"/>
          <w:lang w:val="fr-FR"/>
        </w:rPr>
        <w:t xml:space="preserve"> poly (Styrène) (PME/PS), et poly (Acrylate d'Ethyle)</w:t>
      </w:r>
      <w:r w:rsidRPr="00722940">
        <w:rPr>
          <w:rStyle w:val="FontStyle12"/>
          <w:lang w:val="fr-FR"/>
        </w:rPr>
        <w:t xml:space="preserve"> /</w:t>
      </w:r>
      <w:r>
        <w:rPr>
          <w:rStyle w:val="FontStyle12"/>
          <w:lang w:val="fr-FR"/>
        </w:rPr>
        <w:t xml:space="preserve"> poly (Styrène)</w:t>
      </w:r>
      <w:r w:rsidRPr="00722940">
        <w:rPr>
          <w:rStyle w:val="FontStyle12"/>
          <w:lang w:val="fr-FR"/>
        </w:rPr>
        <w:t xml:space="preserve"> (PEA/</w:t>
      </w:r>
      <w:r>
        <w:rPr>
          <w:rStyle w:val="FontStyle12"/>
          <w:lang w:val="fr-FR"/>
        </w:rPr>
        <w:t>PS</w:t>
      </w:r>
      <w:r w:rsidRPr="00722940">
        <w:rPr>
          <w:rStyle w:val="FontStyle12"/>
          <w:lang w:val="fr-FR"/>
        </w:rPr>
        <w:t xml:space="preserve"> ),</w:t>
      </w:r>
      <w:r>
        <w:rPr>
          <w:rStyle w:val="FontStyle12"/>
          <w:lang w:val="fr-FR"/>
        </w:rPr>
        <w:t xml:space="preserve"> en y introduisant des groupements fonctionnels antagonistes susceptibles de développer des interactions spécifiques entre les constituants de chacun de ces deux binaires.</w:t>
      </w:r>
    </w:p>
    <w:p w:rsidR="00461375" w:rsidRPr="00722940" w:rsidRDefault="00B76380" w:rsidP="006916C2">
      <w:pPr>
        <w:pStyle w:val="Style2"/>
        <w:widowControl/>
        <w:spacing w:before="182" w:line="360" w:lineRule="auto"/>
        <w:ind w:firstLine="696"/>
        <w:rPr>
          <w:rStyle w:val="FontStyle12"/>
          <w:lang w:val="fr-FR" w:eastAsia="fr-FR"/>
        </w:rPr>
      </w:pPr>
      <w:r>
        <w:rPr>
          <w:rStyle w:val="FontStyle12"/>
          <w:lang w:val="fr-FR" w:eastAsia="fr-FR"/>
        </w:rPr>
        <w:t xml:space="preserve">La modification de ces polymères est effectuée par copolymérisation radicalaire en solution du Styrène avec le comonomère acide Paracarboxystyrène et des Méthacrylate d'Ethyle et Acrylate d'Ethyle avec les comonomères basiques 4-Vinylpyridine (V4P) ou Méthacrylate du 2-[N, N diméthylamino] éthyle </w:t>
      </w:r>
      <w:r w:rsidRPr="00722940">
        <w:rPr>
          <w:rStyle w:val="FontStyle12"/>
          <w:lang w:val="fr-FR" w:eastAsia="fr-FR"/>
        </w:rPr>
        <w:t>(MAD).</w:t>
      </w:r>
    </w:p>
    <w:p w:rsidR="00461375" w:rsidRDefault="00B76380" w:rsidP="006B7B94">
      <w:pPr>
        <w:pStyle w:val="Style2"/>
        <w:widowControl/>
        <w:spacing w:before="197" w:line="360" w:lineRule="auto"/>
        <w:rPr>
          <w:rStyle w:val="FontStyle12"/>
          <w:lang w:val="fr-FR" w:eastAsia="fr-FR"/>
        </w:rPr>
      </w:pPr>
      <w:r>
        <w:rPr>
          <w:rStyle w:val="FontStyle12"/>
          <w:lang w:val="fr-FR" w:eastAsia="fr-FR"/>
        </w:rPr>
        <w:t>La nature des systèmes binaires poly (Acrylate d'Ethyle)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poly (Styrène-co-Acide Paracarboxystyrène) (PEA/PSPCS), poly (Méthacrylate d'Ethyle)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poly </w:t>
      </w:r>
      <w:r w:rsidRPr="00722940">
        <w:rPr>
          <w:rStyle w:val="FontStyle12"/>
          <w:lang w:val="fr-FR" w:eastAsia="fr-FR"/>
        </w:rPr>
        <w:t>(</w:t>
      </w:r>
      <w:r>
        <w:rPr>
          <w:rStyle w:val="FontStyle12"/>
          <w:lang w:val="fr-FR" w:eastAsia="fr-FR"/>
        </w:rPr>
        <w:t xml:space="preserve"> Styrène-co-Acide Paracarboxystyrène</w:t>
      </w:r>
      <w:r w:rsidRPr="00722940">
        <w:rPr>
          <w:rStyle w:val="FontStyle12"/>
          <w:lang w:val="fr-FR" w:eastAsia="fr-FR"/>
        </w:rPr>
        <w:t xml:space="preserve"> )</w:t>
      </w:r>
      <w:r>
        <w:rPr>
          <w:rStyle w:val="FontStyle12"/>
          <w:lang w:val="fr-FR" w:eastAsia="fr-FR"/>
        </w:rPr>
        <w:t xml:space="preserve"> (PME/PSPCS), poly (Acrylate d'Ethyle-</w:t>
      </w:r>
      <w:r w:rsidRPr="00722940">
        <w:rPr>
          <w:rStyle w:val="FontStyle12"/>
          <w:lang w:val="fr-FR" w:eastAsia="fr-FR"/>
        </w:rPr>
        <w:t>co-4-Vinylpyridine) /</w:t>
      </w:r>
      <w:r>
        <w:rPr>
          <w:rStyle w:val="FontStyle12"/>
          <w:lang w:val="fr-FR" w:eastAsia="fr-FR"/>
        </w:rPr>
        <w:t xml:space="preserve"> poly (Styrène-coAcide Paracarboxystyrène) (PEAV4P)</w:t>
      </w:r>
      <w:r w:rsidRPr="00722940">
        <w:rPr>
          <w:rStyle w:val="FontStyle12"/>
          <w:lang w:val="fr-FR" w:eastAsia="fr-FR"/>
        </w:rPr>
        <w:t xml:space="preserve"> / </w:t>
      </w:r>
      <w:r>
        <w:rPr>
          <w:rStyle w:val="FontStyle12"/>
          <w:lang w:val="fr-FR" w:eastAsia="fr-FR"/>
        </w:rPr>
        <w:t>(PSPCS), poly (Méthacrylate d'Ethyle-c</w:t>
      </w:r>
      <w:r w:rsidR="004F44D6">
        <w:rPr>
          <w:rStyle w:val="FontStyle12"/>
          <w:lang w:val="fr-FR" w:eastAsia="fr-FR"/>
        </w:rPr>
        <w:t>o</w:t>
      </w:r>
      <w:r>
        <w:rPr>
          <w:rStyle w:val="FontStyle12"/>
          <w:lang w:val="fr-FR" w:eastAsia="fr-FR"/>
        </w:rPr>
        <w:t>-4-Vinylpyridine)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poly (Styrène-co Acide Paracarboxystyrène) (PMEV4P)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PSPCS), poly(Acrylate d'Ethyle-co-Méthacrylate du 2-[N,N diméthylamino] éthyle)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poly(Styrène-coAcide Paracarboxystyrène) (PEAMAD)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PSPCS) et poly (Méthacrylate d'Ethyle-co-Méthacrylate du 2-[N,N diméthylamino] éthyle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poly(Styrène-co-Acide Paracarboxystyrène) (PMEMAD)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(PSPCS), a été examinée à partir des températures de transition vitreuse déte</w:t>
      </w:r>
      <w:r w:rsidR="006B7B94">
        <w:rPr>
          <w:rStyle w:val="FontStyle12"/>
          <w:lang w:val="fr-FR" w:eastAsia="fr-FR"/>
        </w:rPr>
        <w:t>rmin</w:t>
      </w:r>
      <w:r>
        <w:rPr>
          <w:rStyle w:val="FontStyle12"/>
          <w:lang w:val="fr-FR" w:eastAsia="fr-FR"/>
        </w:rPr>
        <w:t>ées par CPG1 et</w:t>
      </w:r>
      <w:r w:rsidRPr="00722940">
        <w:rPr>
          <w:rStyle w:val="FontStyle12"/>
          <w:lang w:val="fr-FR" w:eastAsia="fr-FR"/>
        </w:rPr>
        <w:t xml:space="preserve"> /</w:t>
      </w:r>
      <w:r>
        <w:rPr>
          <w:rStyle w:val="FontStyle12"/>
          <w:lang w:val="fr-FR" w:eastAsia="fr-FR"/>
        </w:rPr>
        <w:t xml:space="preserve"> ou DSC.</w:t>
      </w:r>
    </w:p>
    <w:p w:rsidR="00461375" w:rsidRDefault="00B76380" w:rsidP="006916C2">
      <w:pPr>
        <w:pStyle w:val="Style2"/>
        <w:widowControl/>
        <w:spacing w:line="360" w:lineRule="auto"/>
        <w:ind w:right="10" w:firstLine="696"/>
        <w:rPr>
          <w:rStyle w:val="FontStyle12"/>
          <w:lang w:val="fr-FR" w:eastAsia="fr-FR"/>
        </w:rPr>
      </w:pPr>
      <w:r>
        <w:rPr>
          <w:rStyle w:val="FontStyle12"/>
          <w:lang w:val="fr-FR" w:eastAsia="fr-FR"/>
        </w:rPr>
        <w:t xml:space="preserve">La présence d'interactions spécifiques de type liaison Hydrogène dans les systèmes étudiés a été mise en évidence par exploitation des valeurs des températures de transition vitreuse déterminées par DSC, utilisant les approches théoriques de Kwei </w:t>
      </w:r>
      <w:r>
        <w:rPr>
          <w:rStyle w:val="FontStyle12"/>
          <w:vertAlign w:val="superscript"/>
          <w:lang w:val="fr-FR" w:eastAsia="fr-FR"/>
        </w:rPr>
        <w:t>[86]</w:t>
      </w:r>
      <w:r>
        <w:rPr>
          <w:rStyle w:val="FontStyle12"/>
          <w:lang w:val="fr-FR" w:eastAsia="fr-FR"/>
        </w:rPr>
        <w:t xml:space="preserve"> et de Schneider </w:t>
      </w:r>
      <w:r w:rsidR="004F44D6">
        <w:rPr>
          <w:rStyle w:val="FontStyle12"/>
          <w:spacing w:val="-10"/>
          <w:vertAlign w:val="superscript"/>
          <w:lang w:val="fr-FR" w:eastAsia="fr-FR"/>
        </w:rPr>
        <w:t>[</w:t>
      </w:r>
      <w:r>
        <w:rPr>
          <w:rStyle w:val="FontStyle12"/>
          <w:spacing w:val="-10"/>
          <w:vertAlign w:val="superscript"/>
          <w:lang w:val="fr-FR" w:eastAsia="fr-FR"/>
        </w:rPr>
        <w:t>87-89</w:t>
      </w:r>
      <w:r w:rsidR="004F44D6">
        <w:rPr>
          <w:rStyle w:val="FontStyle12"/>
          <w:spacing w:val="-10"/>
          <w:vertAlign w:val="superscript"/>
          <w:lang w:val="fr-FR" w:eastAsia="fr-FR"/>
        </w:rPr>
        <w:t>]</w:t>
      </w:r>
      <w:r>
        <w:rPr>
          <w:rStyle w:val="FontStyle12"/>
          <w:lang w:val="fr-FR" w:eastAsia="fr-FR"/>
        </w:rPr>
        <w:t xml:space="preserve"> et qualitativement par spectroscopie FTIR.</w:t>
      </w:r>
    </w:p>
    <w:p w:rsidR="00722940" w:rsidRDefault="00B76380" w:rsidP="006916C2">
      <w:pPr>
        <w:pStyle w:val="Style2"/>
        <w:widowControl/>
        <w:spacing w:before="173" w:line="360" w:lineRule="auto"/>
        <w:ind w:firstLine="701"/>
        <w:rPr>
          <w:rStyle w:val="FontStyle12"/>
          <w:lang w:val="fr-FR" w:eastAsia="fr-FR"/>
        </w:rPr>
      </w:pPr>
      <w:r>
        <w:rPr>
          <w:rStyle w:val="FontStyle12"/>
          <w:lang w:val="fr-FR" w:eastAsia="fr-FR"/>
        </w:rPr>
        <w:t xml:space="preserve">La Chromatographie en Phase Gazeuse Inverse, sous sa forme gaz-liquide, a permis, dans la zone d'équilibre thermodynamique, à travers la détermination du paramètre d'interaction polymère-polymère, de quantifier l'intensité des interactions spécifiques existant entre les constituants des mélanges </w:t>
      </w:r>
      <w:r>
        <w:rPr>
          <w:rStyle w:val="FontStyle12"/>
          <w:spacing w:val="-10"/>
          <w:lang w:val="fr-FR" w:eastAsia="fr-FR"/>
        </w:rPr>
        <w:t>PM</w:t>
      </w:r>
      <w:r w:rsidR="004F44D6">
        <w:rPr>
          <w:rStyle w:val="FontStyle12"/>
          <w:spacing w:val="-10"/>
          <w:lang w:val="fr-FR" w:eastAsia="fr-FR"/>
        </w:rPr>
        <w:t>E/</w:t>
      </w:r>
      <w:r>
        <w:rPr>
          <w:rStyle w:val="FontStyle12"/>
          <w:spacing w:val="-10"/>
          <w:lang w:val="fr-FR" w:eastAsia="fr-FR"/>
        </w:rPr>
        <w:t>PSPCS-3,</w:t>
      </w:r>
      <w:r>
        <w:rPr>
          <w:rStyle w:val="FontStyle12"/>
          <w:lang w:val="fr-FR" w:eastAsia="fr-FR"/>
        </w:rPr>
        <w:t xml:space="preserve"> PMEV4P/PSPCS-3 et PMEMAD/PSPCS-3.</w:t>
      </w:r>
    </w:p>
    <w:sectPr w:rsidR="00722940" w:rsidSect="006916C2">
      <w:headerReference w:type="default" r:id="rId6"/>
      <w:headerReference w:type="first" r:id="rId7"/>
      <w:pgSz w:w="11905" w:h="16837"/>
      <w:pgMar w:top="399" w:right="848" w:bottom="1440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2F9C" w:rsidRDefault="00622F9C">
      <w:r>
        <w:separator/>
      </w:r>
    </w:p>
  </w:endnote>
  <w:endnote w:type="continuationSeparator" w:id="1">
    <w:p w:rsidR="00622F9C" w:rsidRDefault="00622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2F9C" w:rsidRDefault="00622F9C">
      <w:r>
        <w:separator/>
      </w:r>
    </w:p>
  </w:footnote>
  <w:footnote w:type="continuationSeparator" w:id="1">
    <w:p w:rsidR="00622F9C" w:rsidRDefault="00622F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75" w:rsidRDefault="00461375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75" w:rsidRDefault="00B76380">
    <w:pPr>
      <w:pStyle w:val="Style1"/>
      <w:widowControl/>
      <w:ind w:right="34"/>
      <w:jc w:val="right"/>
      <w:rPr>
        <w:rStyle w:val="FontStyle11"/>
      </w:rPr>
    </w:pPr>
    <w:r>
      <w:rPr>
        <w:rStyle w:val="FontStyle11"/>
      </w:rPr>
      <w:t>Introduction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722940"/>
    <w:rsid w:val="000578FF"/>
    <w:rsid w:val="00461375"/>
    <w:rsid w:val="004F44D6"/>
    <w:rsid w:val="00622F9C"/>
    <w:rsid w:val="006916C2"/>
    <w:rsid w:val="006B7B94"/>
    <w:rsid w:val="00722940"/>
    <w:rsid w:val="00B76380"/>
    <w:rsid w:val="00D02F83"/>
    <w:rsid w:val="00EA696D"/>
    <w:rsid w:val="00F3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375"/>
    <w:pPr>
      <w:widowControl w:val="0"/>
      <w:autoSpaceDE w:val="0"/>
      <w:autoSpaceDN w:val="0"/>
      <w:adjustRightInd w:val="0"/>
      <w:spacing w:after="0" w:line="240" w:lineRule="auto"/>
    </w:pPr>
    <w:rPr>
      <w:rFonts w:hAnsi="Verdana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461375"/>
  </w:style>
  <w:style w:type="paragraph" w:customStyle="1" w:styleId="Style2">
    <w:name w:val="Style2"/>
    <w:basedOn w:val="Normal"/>
    <w:uiPriority w:val="99"/>
    <w:rsid w:val="00461375"/>
    <w:pPr>
      <w:spacing w:line="426" w:lineRule="exact"/>
      <w:ind w:firstLine="691"/>
      <w:jc w:val="both"/>
    </w:pPr>
  </w:style>
  <w:style w:type="paragraph" w:customStyle="1" w:styleId="Style3">
    <w:name w:val="Style3"/>
    <w:basedOn w:val="Normal"/>
    <w:uiPriority w:val="99"/>
    <w:rsid w:val="00461375"/>
    <w:pPr>
      <w:spacing w:line="434" w:lineRule="exact"/>
      <w:ind w:firstLine="312"/>
      <w:jc w:val="both"/>
    </w:pPr>
  </w:style>
  <w:style w:type="character" w:customStyle="1" w:styleId="FontStyle11">
    <w:name w:val="Font Style11"/>
    <w:basedOn w:val="Policepardfaut"/>
    <w:uiPriority w:val="99"/>
    <w:rsid w:val="00461375"/>
    <w:rPr>
      <w:rFonts w:ascii="Verdana" w:hAnsi="Verdana" w:cs="Verdana"/>
      <w:i/>
      <w:iCs/>
      <w:sz w:val="18"/>
      <w:szCs w:val="18"/>
      <w:lang w:bidi="ar-SA"/>
    </w:rPr>
  </w:style>
  <w:style w:type="character" w:customStyle="1" w:styleId="FontStyle12">
    <w:name w:val="Font Style12"/>
    <w:basedOn w:val="Policepardfaut"/>
    <w:uiPriority w:val="99"/>
    <w:rsid w:val="00461375"/>
    <w:rPr>
      <w:rFonts w:ascii="Times New Roman" w:hAnsi="Times New Roman" w:cs="Times New Roman"/>
      <w:sz w:val="24"/>
      <w:szCs w:val="24"/>
      <w:lang w:bidi="ar-SA"/>
    </w:rPr>
  </w:style>
  <w:style w:type="character" w:customStyle="1" w:styleId="FontStyle13">
    <w:name w:val="Font Style13"/>
    <w:basedOn w:val="Policepardfaut"/>
    <w:uiPriority w:val="99"/>
    <w:rsid w:val="00461375"/>
    <w:rPr>
      <w:rFonts w:ascii="Candara" w:hAnsi="Candara" w:cs="Candara"/>
      <w:i/>
      <w:iCs/>
      <w:sz w:val="22"/>
      <w:szCs w:val="22"/>
      <w:lang w:bidi="ar-SA"/>
    </w:rPr>
  </w:style>
  <w:style w:type="character" w:styleId="Lienhypertexte">
    <w:name w:val="Hyperlink"/>
    <w:basedOn w:val="Policepardfaut"/>
    <w:uiPriority w:val="99"/>
    <w:rsid w:val="00461375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6</cp:revision>
  <dcterms:created xsi:type="dcterms:W3CDTF">2017-01-15T10:53:00Z</dcterms:created>
  <dcterms:modified xsi:type="dcterms:W3CDTF">2017-01-15T11:18:00Z</dcterms:modified>
</cp:coreProperties>
</file>