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4D61" w:rsidRDefault="00FF4D61" w:rsidP="00B92D2A">
      <w:pPr>
        <w:spacing w:after="0" w:line="240" w:lineRule="auto"/>
        <w:contextualSpacing/>
        <w:jc w:val="both"/>
        <w:rPr>
          <w:rFonts w:asciiTheme="majorBidi" w:hAnsiTheme="majorBidi" w:cstheme="majorBidi"/>
          <w:b/>
          <w:sz w:val="24"/>
          <w:szCs w:val="24"/>
        </w:rPr>
      </w:pPr>
    </w:p>
    <w:p w:rsidR="00FF4D61" w:rsidRDefault="00FF4D61" w:rsidP="00B92D2A">
      <w:pPr>
        <w:spacing w:after="0" w:line="240" w:lineRule="auto"/>
        <w:contextualSpacing/>
        <w:jc w:val="both"/>
        <w:rPr>
          <w:rFonts w:asciiTheme="majorBidi" w:hAnsiTheme="majorBidi" w:cstheme="majorBidi"/>
          <w:b/>
          <w:sz w:val="24"/>
          <w:szCs w:val="24"/>
        </w:rPr>
      </w:pPr>
    </w:p>
    <w:p w:rsidR="00B92D2A" w:rsidRPr="000378FD" w:rsidRDefault="00B92D2A" w:rsidP="00B92D2A">
      <w:pPr>
        <w:spacing w:after="0" w:line="240" w:lineRule="auto"/>
        <w:contextualSpacing/>
        <w:jc w:val="both"/>
        <w:rPr>
          <w:rFonts w:asciiTheme="majorBidi" w:hAnsiTheme="majorBidi" w:cstheme="majorBidi"/>
          <w:b/>
          <w:sz w:val="24"/>
          <w:szCs w:val="24"/>
        </w:rPr>
      </w:pPr>
      <w:proofErr w:type="gramStart"/>
      <w:r w:rsidRPr="00FF4D61">
        <w:rPr>
          <w:rFonts w:asciiTheme="majorBidi" w:hAnsiTheme="majorBidi" w:cstheme="majorBidi"/>
          <w:b/>
          <w:sz w:val="32"/>
          <w:szCs w:val="32"/>
          <w:u w:val="single"/>
        </w:rPr>
        <w:t>Résumé</w:t>
      </w:r>
      <w:r w:rsidRPr="000378FD">
        <w:rPr>
          <w:rFonts w:asciiTheme="majorBidi" w:hAnsiTheme="majorBidi" w:cstheme="majorBidi"/>
          <w:b/>
          <w:sz w:val="24"/>
          <w:szCs w:val="24"/>
        </w:rPr>
        <w:t>:</w:t>
      </w:r>
      <w:proofErr w:type="gramEnd"/>
      <w:r w:rsidRPr="000378FD">
        <w:rPr>
          <w:rFonts w:asciiTheme="majorBidi" w:hAnsiTheme="majorBidi" w:cstheme="majorBidi"/>
          <w:b/>
          <w:sz w:val="24"/>
          <w:szCs w:val="24"/>
        </w:rPr>
        <w:t xml:space="preserve"> </w:t>
      </w:r>
    </w:p>
    <w:p w:rsidR="00B92D2A" w:rsidRPr="000378FD" w:rsidRDefault="00B92D2A" w:rsidP="00B92D2A">
      <w:pPr>
        <w:spacing w:after="0" w:line="240" w:lineRule="auto"/>
        <w:contextualSpacing/>
        <w:jc w:val="both"/>
        <w:rPr>
          <w:rFonts w:asciiTheme="majorBidi" w:hAnsiTheme="majorBidi" w:cstheme="majorBidi"/>
          <w:sz w:val="24"/>
          <w:szCs w:val="24"/>
        </w:rPr>
      </w:pPr>
    </w:p>
    <w:p w:rsidR="00B92D2A" w:rsidRPr="00FF4D61" w:rsidRDefault="00B92D2A" w:rsidP="00B92D2A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FF4D61">
        <w:rPr>
          <w:rFonts w:ascii="Times New Roman" w:hAnsi="Times New Roman" w:cs="Times New Roman"/>
          <w:i/>
          <w:iCs/>
          <w:sz w:val="24"/>
          <w:szCs w:val="24"/>
        </w:rPr>
        <w:t xml:space="preserve">L’objectif de ce travail de thèse est l’étude des propriétés texturales et structurelles d’une série de systèmes catalytiques issus des </w:t>
      </w:r>
      <w:proofErr w:type="spellStart"/>
      <w:r w:rsidRPr="00FF4D61">
        <w:rPr>
          <w:rFonts w:ascii="Times New Roman" w:hAnsi="Times New Roman" w:cs="Times New Roman"/>
          <w:i/>
          <w:iCs/>
          <w:sz w:val="24"/>
          <w:szCs w:val="24"/>
        </w:rPr>
        <w:t>hydrotalcites</w:t>
      </w:r>
      <w:proofErr w:type="spellEnd"/>
      <w:r w:rsidRPr="00FF4D61">
        <w:rPr>
          <w:rFonts w:ascii="Times New Roman" w:hAnsi="Times New Roman" w:cs="Times New Roman"/>
          <w:i/>
          <w:iCs/>
          <w:sz w:val="24"/>
          <w:szCs w:val="24"/>
        </w:rPr>
        <w:t xml:space="preserve"> (HT), et leur application dans la réaction de reformage </w:t>
      </w:r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sec du méthane.</w:t>
      </w:r>
    </w:p>
    <w:p w:rsidR="00B92D2A" w:rsidRPr="00FF4D61" w:rsidRDefault="00B92D2A" w:rsidP="001B7CBE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Dans ce contexte, une première partie </w:t>
      </w:r>
      <w:r w:rsidR="000944D3"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a été consacrée à</w:t>
      </w:r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la synthèse et la </w:t>
      </w:r>
      <w:proofErr w:type="spellStart"/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caractérisationdes</w:t>
      </w:r>
      <w:proofErr w:type="spellEnd"/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matériaux, préparés </w:t>
      </w:r>
      <w:proofErr w:type="spellStart"/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parcoprécipitation</w:t>
      </w:r>
      <w:proofErr w:type="spellEnd"/>
      <w:r w:rsidR="000944D3"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à pH basique constant (pH=11)</w:t>
      </w:r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. La caractérisation des solides </w:t>
      </w:r>
      <w:r w:rsidR="000944D3"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frais et calcinés a été </w:t>
      </w:r>
      <w:proofErr w:type="spellStart"/>
      <w:r w:rsidR="000944D3"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réalisée</w:t>
      </w:r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par</w:t>
      </w:r>
      <w:proofErr w:type="spellEnd"/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différentes méthodes d’analyse physico-chimiques (SAA, DRX, IRTF, BET, ATG/ATD, MEB, MET et RTP)</w:t>
      </w:r>
      <w:r w:rsidR="000944D3"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. Il a été mis ainsi en évidence</w:t>
      </w:r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leur</w:t>
      </w:r>
      <w:r w:rsidR="000944D3"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nature double lamellaires et leurs excellentes propriétés en tant que matériaux </w:t>
      </w:r>
      <w:proofErr w:type="spellStart"/>
      <w:r w:rsidR="000944D3"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mesoporeux</w:t>
      </w:r>
      <w:proofErr w:type="spellEnd"/>
      <w:r w:rsidR="000944D3"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, </w:t>
      </w:r>
      <w:r w:rsidR="000378FD"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basiques,</w:t>
      </w:r>
      <w:r w:rsidR="000944D3"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modulables selon l’application catalytique envisagée.</w:t>
      </w:r>
    </w:p>
    <w:p w:rsidR="00B92D2A" w:rsidRPr="00FF4D61" w:rsidRDefault="00B92D2A" w:rsidP="000378F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Dans la deuxième partie, </w:t>
      </w:r>
      <w:r w:rsidR="000944D3"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Nous avons testé </w:t>
      </w:r>
      <w:proofErr w:type="spellStart"/>
      <w:r w:rsidR="000944D3"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nossolides</w:t>
      </w:r>
      <w:proofErr w:type="spellEnd"/>
      <w:r w:rsidR="000944D3"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calcinés </w:t>
      </w:r>
      <w:proofErr w:type="spellStart"/>
      <w:r w:rsidR="000944D3"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en</w:t>
      </w:r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réaction</w:t>
      </w:r>
      <w:proofErr w:type="spellEnd"/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de reformage sec du méthane. Plusieurs paramètres ont été examinés</w:t>
      </w:r>
      <w:r w:rsidR="000944D3"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 :</w:t>
      </w:r>
    </w:p>
    <w:p w:rsidR="00B92D2A" w:rsidRPr="00FF4D61" w:rsidRDefault="00B92D2A" w:rsidP="000378FD">
      <w:pPr>
        <w:pStyle w:val="Paragraphedeliste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La nature endothermique </w:t>
      </w:r>
      <w:proofErr w:type="spellStart"/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dela</w:t>
      </w:r>
      <w:proofErr w:type="spellEnd"/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réaction de reformag</w:t>
      </w:r>
      <w:r w:rsidR="000378FD"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e sec du méthane a largement été </w:t>
      </w:r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prouvée.</w:t>
      </w:r>
    </w:p>
    <w:p w:rsidR="00B92D2A" w:rsidRPr="00FF4D61" w:rsidRDefault="00B92D2A" w:rsidP="000378FD">
      <w:pPr>
        <w:pStyle w:val="Paragraphedeliste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L’étude de la stabilité en fonction du temps a montré que les catalyseurs sont actifs dès les premières minutes, et sont stables au-delà de 10 heures de réaction. </w:t>
      </w:r>
    </w:p>
    <w:p w:rsidR="00151745" w:rsidRPr="00FF4D61" w:rsidRDefault="00151745" w:rsidP="00F2668B">
      <w:pPr>
        <w:pStyle w:val="Paragraphedeliste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La </w:t>
      </w:r>
      <w:proofErr w:type="spellStart"/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présencesimultanée</w:t>
      </w:r>
      <w:proofErr w:type="spellEnd"/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du Co </w:t>
      </w:r>
      <w:proofErr w:type="spellStart"/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etMg</w:t>
      </w:r>
      <w:proofErr w:type="spellEnd"/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a rehaussé les propriétés catalytiques du solide de référence.</w:t>
      </w:r>
    </w:p>
    <w:p w:rsidR="00151745" w:rsidRPr="00FF4D61" w:rsidRDefault="00151745" w:rsidP="000378FD">
      <w:pPr>
        <w:pStyle w:val="Paragraphedeliste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La nature des cations introduits dans la matrice de l’</w:t>
      </w:r>
      <w:proofErr w:type="spellStart"/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hydrotalcite</w:t>
      </w:r>
      <w:proofErr w:type="spellEnd"/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influe directement sur la </w:t>
      </w:r>
      <w:proofErr w:type="spellStart"/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réductibité</w:t>
      </w:r>
      <w:proofErr w:type="spellEnd"/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du catalyseur, sa texture et </w:t>
      </w:r>
      <w:proofErr w:type="gramStart"/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sa  structure</w:t>
      </w:r>
      <w:proofErr w:type="gramEnd"/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.  </w:t>
      </w:r>
    </w:p>
    <w:p w:rsidR="00B92D2A" w:rsidRPr="00FF4D61" w:rsidRDefault="001B7CBE" w:rsidP="001B7CBE">
      <w:pPr>
        <w:pStyle w:val="Paragraphedeliste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Le solide </w:t>
      </w:r>
      <w:proofErr w:type="spellStart"/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NiMgAl-HTc</w:t>
      </w:r>
      <w:r w:rsidR="00B92D2A"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a</w:t>
      </w:r>
      <w:proofErr w:type="spellEnd"/>
      <w:r w:rsidR="00B92D2A"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montré une forte résistance </w:t>
      </w:r>
      <w:proofErr w:type="spellStart"/>
      <w:r w:rsidR="00B92D2A"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au</w:t>
      </w:r>
      <w:r w:rsidR="00151745"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vieillissementmalgré</w:t>
      </w:r>
      <w:proofErr w:type="spellEnd"/>
      <w:r w:rsidR="00151745"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le cycle catalytique drastique auquel il a été soumis, contrairement au solide </w:t>
      </w:r>
      <w:proofErr w:type="spellStart"/>
      <w:r w:rsidR="00151745"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NiAl-HTc</w:t>
      </w:r>
      <w:proofErr w:type="spellEnd"/>
      <w:r w:rsidR="00151745"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</w:t>
      </w:r>
      <w:proofErr w:type="spellStart"/>
      <w:r w:rsidR="00151745"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quimontré</w:t>
      </w:r>
      <w:proofErr w:type="spellEnd"/>
      <w:r w:rsidR="00151745"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une franche </w:t>
      </w:r>
      <w:proofErr w:type="gramStart"/>
      <w:r w:rsidR="00151745"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désactivation  dans</w:t>
      </w:r>
      <w:proofErr w:type="gramEnd"/>
      <w:r w:rsidR="00151745"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</w:t>
      </w:r>
      <w:r w:rsidR="000378FD"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l</w:t>
      </w:r>
      <w:r w:rsidR="00151745"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e temps au cours du cycle.</w:t>
      </w:r>
    </w:p>
    <w:p w:rsidR="00B92D2A" w:rsidRPr="00FF4D61" w:rsidRDefault="00B92D2A" w:rsidP="001B7CBE">
      <w:pPr>
        <w:pStyle w:val="Paragraphedeliste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La </w:t>
      </w:r>
      <w:proofErr w:type="spellStart"/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r</w:t>
      </w:r>
      <w:r w:rsidR="000944D3"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é</w:t>
      </w:r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g</w:t>
      </w:r>
      <w:r w:rsidR="000944D3"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éné</w:t>
      </w:r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rabilité</w:t>
      </w:r>
      <w:proofErr w:type="spellEnd"/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de l’échantillon </w:t>
      </w:r>
      <w:proofErr w:type="spellStart"/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NiAl-HTc</w:t>
      </w:r>
      <w:proofErr w:type="spellEnd"/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a été effectuée avec succès suite à un traitement par </w:t>
      </w:r>
      <w:proofErr w:type="spellStart"/>
      <w:r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hydrogazéfication</w:t>
      </w:r>
      <w:proofErr w:type="spellEnd"/>
      <w:r w:rsidR="00151745" w:rsidRPr="00FF4D61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.</w:t>
      </w:r>
    </w:p>
    <w:p w:rsidR="00B92D2A" w:rsidRPr="00125600" w:rsidRDefault="00B92D2A" w:rsidP="00B92D2A">
      <w:pPr>
        <w:tabs>
          <w:tab w:val="left" w:pos="6070"/>
        </w:tabs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i/>
          <w:iCs/>
          <w:sz w:val="20"/>
          <w:szCs w:val="20"/>
        </w:rPr>
      </w:pPr>
    </w:p>
    <w:p w:rsidR="009B7B9A" w:rsidRDefault="009B7B9A">
      <w:bookmarkStart w:id="0" w:name="_GoBack"/>
      <w:bookmarkEnd w:id="0"/>
    </w:p>
    <w:sectPr w:rsidR="009B7B9A" w:rsidSect="009B7B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360B" w:rsidRDefault="00F5360B" w:rsidP="00B92D2A">
      <w:pPr>
        <w:spacing w:after="0" w:line="240" w:lineRule="auto"/>
      </w:pPr>
      <w:r>
        <w:separator/>
      </w:r>
    </w:p>
  </w:endnote>
  <w:endnote w:type="continuationSeparator" w:id="0">
    <w:p w:rsidR="00F5360B" w:rsidRDefault="00F5360B" w:rsidP="00B92D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360B" w:rsidRDefault="00F5360B" w:rsidP="00B92D2A">
      <w:pPr>
        <w:spacing w:after="0" w:line="240" w:lineRule="auto"/>
      </w:pPr>
      <w:r>
        <w:separator/>
      </w:r>
    </w:p>
  </w:footnote>
  <w:footnote w:type="continuationSeparator" w:id="0">
    <w:p w:rsidR="00F5360B" w:rsidRDefault="00F5360B" w:rsidP="00B92D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8D5674E"/>
    <w:multiLevelType w:val="hybridMultilevel"/>
    <w:tmpl w:val="C1C8861A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49C5432"/>
    <w:multiLevelType w:val="hybridMultilevel"/>
    <w:tmpl w:val="1FC2A564"/>
    <w:lvl w:ilvl="0" w:tplc="040C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71B71AE"/>
    <w:multiLevelType w:val="hybridMultilevel"/>
    <w:tmpl w:val="193C9034"/>
    <w:lvl w:ilvl="0" w:tplc="040C000D">
      <w:start w:val="1"/>
      <w:numFmt w:val="bullet"/>
      <w:lvlText w:val=""/>
      <w:lvlJc w:val="left"/>
      <w:pPr>
        <w:ind w:left="149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B92D2A"/>
    <w:rsid w:val="0003443E"/>
    <w:rsid w:val="000378FD"/>
    <w:rsid w:val="000944D3"/>
    <w:rsid w:val="00151745"/>
    <w:rsid w:val="00151B7F"/>
    <w:rsid w:val="001B7CBE"/>
    <w:rsid w:val="001E7F79"/>
    <w:rsid w:val="002429E7"/>
    <w:rsid w:val="002431FD"/>
    <w:rsid w:val="002C4B9A"/>
    <w:rsid w:val="003F1A2C"/>
    <w:rsid w:val="004F3525"/>
    <w:rsid w:val="00666BFA"/>
    <w:rsid w:val="007A29F5"/>
    <w:rsid w:val="00965FED"/>
    <w:rsid w:val="009A05DC"/>
    <w:rsid w:val="009B7B9A"/>
    <w:rsid w:val="00A00B8B"/>
    <w:rsid w:val="00AB3D70"/>
    <w:rsid w:val="00B27491"/>
    <w:rsid w:val="00B5408C"/>
    <w:rsid w:val="00B92D2A"/>
    <w:rsid w:val="00BC3EAB"/>
    <w:rsid w:val="00CC3153"/>
    <w:rsid w:val="00F2668B"/>
    <w:rsid w:val="00F27D6E"/>
    <w:rsid w:val="00F5360B"/>
    <w:rsid w:val="00FF4D6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F89D1366-4C23-4D49-979C-E8A7EA739B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27D6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B92D2A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semiHidden/>
    <w:unhideWhenUsed/>
    <w:rsid w:val="00B9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B92D2A"/>
  </w:style>
  <w:style w:type="paragraph" w:styleId="Pieddepage">
    <w:name w:val="footer"/>
    <w:basedOn w:val="Normal"/>
    <w:link w:val="PieddepageCar"/>
    <w:uiPriority w:val="99"/>
    <w:semiHidden/>
    <w:unhideWhenUsed/>
    <w:rsid w:val="00B9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B92D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268</Words>
  <Characters>1480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naima</cp:lastModifiedBy>
  <cp:revision>10</cp:revision>
  <cp:lastPrinted>2010-12-31T22:45:00Z</cp:lastPrinted>
  <dcterms:created xsi:type="dcterms:W3CDTF">2018-03-10T14:06:00Z</dcterms:created>
  <dcterms:modified xsi:type="dcterms:W3CDTF">2019-01-08T10:20:00Z</dcterms:modified>
</cp:coreProperties>
</file>