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Dans la région de la Gara Adjemamaye qui appartient au terrane de l’Egéré-Aleksod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(LATEA, Hoggar central) deux types de granites post-collisionnels panafricains ont été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reconnus : un premier, microgrenu porphyrique grisâtre à crème composant la Gara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Adjemamaye sensu stricto et un second, à gros grain rougeâtre entourant le premier au nord,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au nord-ouest et à l’est. Au sud de la Gara affleurent des roches volcaniques trachyandésitiques.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L’étude pétrographique a montré que le premier type de granite est hypersolvus et contient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principalement des perthites, des amphiboles sodi-calciques, des pyroxènes sodiques, de la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biotite (annite) et de nombreux accessoires; le deuxième type est composé surtout de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plagioclase, hornblende verte, biotite et peu d’accessoires.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L’étude géochimique des éléments majeurs montre que le granite gris à crème est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alcalin/hyperalcalin, riche en SiO2 et pauvre en MgO, CaO et Sr ; les éléments en traces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indiquent qu’il s’intègre bien dans les granites de type A et particulièrement du type A2.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Le granite rougeâtre est un monzogranite calco-alcalin ne dépassant pas 71,37% en SiO2 avec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des teneurs en Ba et Sr très élevées qui le classent dans les High Ba-Sr granites.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Les spiderdiagrammes normalisés aux MORB montrent de fortes anomalies négatives en Sr,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Ba, P et Ti pour les granites alcalins/peralcalins et des anomalies moins prononcées pour les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granites calco-alcalins. Toutes les roches sont plus enrichies en Terres Rares Légères (LREE)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par rapport aux Terres Rares Lourdes (HREE) et, l’anomalie négative en Eu discrète pour les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granites calco-alcalins devient forte pour les granites alcalins/peralcalins.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Le comportement de tous les éléments indique l’importance jouée par la cristallisation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fractionnée dans l’évolution des roches avec un fractionnement des feldspaths, de l’apatite et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des oxydes ferro-titanés.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Les données géochronologiques et isotopiques indiquent : 1) que les granites étudiés ont un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âge de 526+22 Ma, 2) que l’origine des granites calco-alcalins pourrait être un mélange entre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des liquides issus d’un manteau juvénile et de la croûte continentale inférieure granulitique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lastRenderedPageBreak/>
        <w:t>éburnéenne/archéenne pauvre en Rb et, 3) que l’origine des granites alcalins impliquerait une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nouvelle source primitive mantélique qui se serait mélangée à une autre de nature crustale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pouvant être le produit du premier mélange.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L’âge de 526+22 Ma obtenu pour nos granites est similaire à celui du pluton de Touieine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(Taourirt de Silet ; 523 + 1 Ma) et dans l’intervalle des Taourirt de Tamanrasset (539-525 Ma).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Un âge plus précis sur zircons (en voie de détermination) indiquera si le massif de la Gara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Adjemamaye est lié à la collision du Hoggar avec le Craton Ouest Africain ou est plutôt</w:t>
      </w:r>
    </w:p>
    <w:p w:rsidR="0098645D" w:rsidRPr="0098645D" w:rsidRDefault="0098645D" w:rsidP="0098645D">
      <w:pPr>
        <w:bidi w:val="0"/>
        <w:rPr>
          <w:lang w:val="fr-FR" w:bidi="ar-DZ"/>
        </w:rPr>
      </w:pPr>
      <w:r w:rsidRPr="0098645D">
        <w:rPr>
          <w:lang w:val="fr-FR" w:bidi="ar-DZ"/>
        </w:rPr>
        <w:t>associé à l’évènement « mourzoukien » reconnu plus à l’est et qui a probablement réactivé le</w:t>
      </w:r>
    </w:p>
    <w:p w:rsidR="00BB740E" w:rsidRPr="0098645D" w:rsidRDefault="0098645D" w:rsidP="0098645D">
      <w:pPr>
        <w:bidi w:val="0"/>
        <w:rPr>
          <w:rFonts w:hint="cs"/>
          <w:lang w:val="fr-FR" w:bidi="ar-DZ"/>
        </w:rPr>
      </w:pPr>
      <w:r w:rsidRPr="0098645D">
        <w:rPr>
          <w:lang w:val="fr-FR" w:bidi="ar-DZ"/>
        </w:rPr>
        <w:t>LATEA autour de 550 Ma.</w:t>
      </w:r>
    </w:p>
    <w:sectPr w:rsidR="00BB740E" w:rsidRPr="0098645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98645D"/>
    <w:rsid w:val="006D5754"/>
    <w:rsid w:val="0098645D"/>
    <w:rsid w:val="00BB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740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2422</Characters>
  <Application>Microsoft Office Word</Application>
  <DocSecurity>0</DocSecurity>
  <Lines>20</Lines>
  <Paragraphs>5</Paragraphs>
  <ScaleCrop>false</ScaleCrop>
  <Company/>
  <LinksUpToDate>false</LinksUpToDate>
  <CharactersWithSpaces>2841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2014-12-21T10:53:00Z</dcterms:created>
  <dcterms:modified xsi:type="dcterms:W3CDTF">2014-12-21T10:54:00Z</dcterms:modified>
</cp:coreProperties>
</file>