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5CC2" w:rsidRDefault="00BA5CC2" w:rsidP="00554AA8">
      <w:pPr>
        <w:shd w:val="clear" w:color="auto" w:fill="FFFFFF"/>
        <w:spacing w:after="240"/>
        <w:jc w:val="both"/>
        <w:rPr>
          <w:b/>
        </w:rPr>
      </w:pPr>
    </w:p>
    <w:p w:rsidR="00BA5CC2" w:rsidRDefault="00BA5CC2" w:rsidP="00554AA8">
      <w:pPr>
        <w:shd w:val="clear" w:color="auto" w:fill="FFFFFF"/>
        <w:spacing w:after="240"/>
        <w:jc w:val="both"/>
        <w:rPr>
          <w:b/>
        </w:rPr>
      </w:pPr>
    </w:p>
    <w:p w:rsidR="00BA5CC2" w:rsidRDefault="00BA5CC2" w:rsidP="00554AA8">
      <w:pPr>
        <w:shd w:val="clear" w:color="auto" w:fill="FFFFFF"/>
        <w:spacing w:after="240"/>
        <w:jc w:val="both"/>
        <w:rPr>
          <w:b/>
        </w:rPr>
      </w:pPr>
    </w:p>
    <w:p w:rsidR="00554AA8" w:rsidRPr="00FF46DD" w:rsidRDefault="00554AA8" w:rsidP="00554AA8">
      <w:pPr>
        <w:shd w:val="clear" w:color="auto" w:fill="FFFFFF"/>
        <w:spacing w:after="240"/>
        <w:jc w:val="both"/>
        <w:rPr>
          <w:b/>
        </w:rPr>
      </w:pPr>
      <w:r w:rsidRPr="00FF46DD">
        <w:rPr>
          <w:b/>
        </w:rPr>
        <w:t xml:space="preserve">Résumé </w:t>
      </w:r>
    </w:p>
    <w:p w:rsidR="00554AA8" w:rsidRPr="0066353C" w:rsidRDefault="00554AA8" w:rsidP="00554AA8">
      <w:pPr>
        <w:shd w:val="clear" w:color="auto" w:fill="FFFFFF"/>
        <w:jc w:val="both"/>
      </w:pPr>
      <w:bookmarkStart w:id="0" w:name="_GoBack"/>
      <w:r w:rsidRPr="004C5659">
        <w:rPr>
          <w:b/>
          <w:i/>
        </w:rPr>
        <w:t xml:space="preserve">Introduction </w:t>
      </w:r>
      <w:bookmarkEnd w:id="0"/>
      <w:r w:rsidRPr="004C5659">
        <w:rPr>
          <w:b/>
          <w:i/>
        </w:rPr>
        <w:t>:</w:t>
      </w:r>
      <w:r w:rsidRPr="004C5659">
        <w:rPr>
          <w:i/>
        </w:rPr>
        <w:t xml:space="preserve"> </w:t>
      </w:r>
      <w:r w:rsidRPr="004C5659">
        <w:t xml:space="preserve">Le cancer du sein triple négatif (TNBC) est un type particulier de cancer du sein, défini par l’absence d’expression des récepteurs d’œstrogène, de la progestérone et de l’HER2. Il est caractérisé par son agressivité, son mauvais pronostic et le manque de thérapies ciblées. En outre, le TNBC est hautement associé au type basal-like, qui se caractérise généralement par un profil </w:t>
      </w:r>
      <w:r w:rsidRPr="004C5659">
        <w:rPr>
          <w:i/>
        </w:rPr>
        <w:t>BRCA1</w:t>
      </w:r>
      <w:r w:rsidRPr="004C5659">
        <w:t xml:space="preserve"> positif. À ce jour, environ 12 à 15 % des tumeurs de sein sont des TNBC, mais certaines études ont rapporté que cette prévalence diffère entre les races. A notre connaissance, très de peu de travaux ont été publiés sur le phénotype triple négatif chez les patientes algériennes. Dans cette étude, nous avons cherché à déterminer la prévalence ainsi que les caractéristiques </w:t>
      </w:r>
      <w:proofErr w:type="spellStart"/>
      <w:r w:rsidRPr="004C5659">
        <w:t>clinico</w:t>
      </w:r>
      <w:proofErr w:type="spellEnd"/>
      <w:r w:rsidRPr="004C5659">
        <w:t xml:space="preserve">-pathologiques des tumeurs TNBC. Nous avons également déterminé la prévalence des mutations </w:t>
      </w:r>
      <w:r w:rsidRPr="004C5659">
        <w:rPr>
          <w:i/>
        </w:rPr>
        <w:t>BRCA1</w:t>
      </w:r>
      <w:r w:rsidRPr="004C5659">
        <w:t xml:space="preserve"> chez les patientes TNBC. </w:t>
      </w:r>
      <w:r w:rsidRPr="004C5659">
        <w:rPr>
          <w:b/>
          <w:i/>
        </w:rPr>
        <w:t xml:space="preserve">Matériels et méthodes </w:t>
      </w:r>
      <w:r w:rsidRPr="004C5659">
        <w:rPr>
          <w:b/>
        </w:rPr>
        <w:t>:</w:t>
      </w:r>
      <w:r w:rsidRPr="004C5659">
        <w:t xml:space="preserve"> Un total de 1416 femmes diagnostiquées avec un cancer du sein entre 2011 et 2015 ont été analysées dans le registre de cancer de l’hôpital public de </w:t>
      </w:r>
      <w:proofErr w:type="spellStart"/>
      <w:r w:rsidRPr="004C5659">
        <w:t>Rouiba</w:t>
      </w:r>
      <w:proofErr w:type="spellEnd"/>
      <w:r w:rsidRPr="004C5659">
        <w:t xml:space="preserve"> (Alger). Les sous-types moléculaires de 877 patientes atteintes de cancer du sein ont été évalués par </w:t>
      </w:r>
      <w:proofErr w:type="spellStart"/>
      <w:r w:rsidRPr="004C5659">
        <w:t>immuno-histochimie</w:t>
      </w:r>
      <w:proofErr w:type="spellEnd"/>
      <w:r w:rsidRPr="004C5659">
        <w:t xml:space="preserve">, les données concernant leurs caractéristiques anatomopathologiques ont également été déterminées. Dans cette étude, les patientes ont été divisées en deux groupes : TNBC et non TNBC comptant les autres sous-types de cancer du sein. Les différences entre les deux groupes concernant les caractéristiques cliniques et tumorales, ont été comparées en utilisant le test exact de Fisher. La prévalence des mutations germinales du gène </w:t>
      </w:r>
      <w:r w:rsidRPr="004C5659">
        <w:rPr>
          <w:i/>
        </w:rPr>
        <w:t>BRCA1</w:t>
      </w:r>
      <w:r w:rsidRPr="004C5659">
        <w:t xml:space="preserve"> a été estimée par la recherche des mutations </w:t>
      </w:r>
      <w:r w:rsidRPr="00FD22EA">
        <w:t xml:space="preserve">germinales spécifiques de la population Algérienne préalablement identifiées (au niveau des exons </w:t>
      </w:r>
      <w:r w:rsidRPr="004C5659">
        <w:t xml:space="preserve">2, 3, 5 et 11) chez 103 patientes TNBC par la technique PCR-séquençage direct. </w:t>
      </w:r>
      <w:r w:rsidRPr="004C5659">
        <w:rPr>
          <w:b/>
          <w:i/>
        </w:rPr>
        <w:t>Résultats :</w:t>
      </w:r>
      <w:r w:rsidRPr="004C5659">
        <w:t xml:space="preserve"> L’âge moyen au diagnostic du cancer du sein était 48,88 ans. Les proportions des sous-types de cancer du sein Luminal A-like, Luminal B-like (HER2-), TNBC, luminal B-like (HER2 +) et HER2 étaient de 31,81 %, 24,17 %, 19,95 %, 18,13 % et 5,93 % respectivement. L’âge moyen au diagnostic pour les patients TNBC et non TNBC </w:t>
      </w:r>
      <w:r w:rsidRPr="0066353C">
        <w:t>était de 47,4 et 49,4 ans, respectivement. Nos résultats</w:t>
      </w:r>
      <w:r>
        <w:t xml:space="preserve"> </w:t>
      </w:r>
      <w:r w:rsidRPr="00FD22EA">
        <w:t>ont montré des différences significatives concernant : le statut ménopausique, le stade TNM, le type histologique</w:t>
      </w:r>
      <w:r w:rsidRPr="0066353C">
        <w:t xml:space="preserve">, le grade histologique, l’expression du Ki67 et l’histoire héréditaire de cancer du sein entre les patientes TNBC et non-TNBC. </w:t>
      </w:r>
      <w:r w:rsidRPr="00FD22EA">
        <w:t xml:space="preserve">Quatre mutations délétères et distinctes ont été détectées dans le gène </w:t>
      </w:r>
      <w:r w:rsidRPr="00FD22EA">
        <w:rPr>
          <w:i/>
        </w:rPr>
        <w:t>BRCA1</w:t>
      </w:r>
      <w:r w:rsidRPr="00FD22EA">
        <w:t xml:space="preserve"> chez huit jeunes patientes TNBC. La mutation récurrente c.83_84delTG sur l’exon 3 a été identifiée chez 3 jeunes patientes TNBC. Le variant pathogène c.181T&gt;G sur l’exon 5 a </w:t>
      </w:r>
      <w:r w:rsidRPr="0066353C">
        <w:t xml:space="preserve">été détecté chez une jeune patiente âgée de 36 ans.  La mutation délétère c.798_799delTT située sur l’exon 11 a été détectée chez une jeune patiente TNBC avec une histoire héréditaire du cancer du sein. Le variant pathogène c.2125_2126insA situé sur l’exon 11 a été détecté pour la première fois en Algérie chez trois jeunes patientes TNBC, ayant une histoire héréditaire du cancer du sein et de la prostate dans leurs familles. En plus de ces mutations, nous avons identifié un variant bénin : c.2082C&gt;T/p.Ser694Ser sur l’exon 11 du gène </w:t>
      </w:r>
      <w:r w:rsidRPr="0066353C">
        <w:rPr>
          <w:i/>
        </w:rPr>
        <w:t xml:space="preserve">BRCA1 </w:t>
      </w:r>
      <w:r w:rsidRPr="0066353C">
        <w:t xml:space="preserve">chez des patientes TNBC et certains de leurs </w:t>
      </w:r>
      <w:proofErr w:type="spellStart"/>
      <w:r w:rsidRPr="0066353C">
        <w:t>relatifs.</w:t>
      </w:r>
      <w:r w:rsidRPr="0066353C">
        <w:rPr>
          <w:b/>
          <w:i/>
        </w:rPr>
        <w:t>Conclusion</w:t>
      </w:r>
      <w:proofErr w:type="spellEnd"/>
      <w:r w:rsidRPr="0066353C">
        <w:rPr>
          <w:b/>
        </w:rPr>
        <w:t xml:space="preserve"> :</w:t>
      </w:r>
      <w:r w:rsidRPr="0066353C">
        <w:t xml:space="preserve"> Le cancer TNBC est associé à un jeune âge au diagnostic, au mauvais pronostic, et à l’histoire héréditaire de cancer du sein. Des mutations germinales </w:t>
      </w:r>
      <w:r w:rsidRPr="0066353C">
        <w:rPr>
          <w:i/>
        </w:rPr>
        <w:t>BRCA1</w:t>
      </w:r>
      <w:r w:rsidRPr="0066353C">
        <w:t xml:space="preserve"> ont été détectées chez des jeunes patientes TNBC. Le phénotype TNBC devrait être considéré comme un critère important, pour les tests génétiques et le conseil génétique chez les femmes algériennes diagnostiquées avec un cancer du sein à un jeune âge.</w:t>
      </w:r>
    </w:p>
    <w:p w:rsidR="00554AA8" w:rsidRPr="0066353C" w:rsidRDefault="00554AA8" w:rsidP="00554AA8">
      <w:pPr>
        <w:shd w:val="clear" w:color="auto" w:fill="FFFFFF"/>
        <w:jc w:val="both"/>
      </w:pPr>
    </w:p>
    <w:sectPr w:rsidR="00554AA8" w:rsidRPr="0066353C" w:rsidSect="00554AA8">
      <w:pgSz w:w="11906" w:h="16838"/>
      <w:pgMar w:top="1135"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4AA8"/>
    <w:rsid w:val="00061D96"/>
    <w:rsid w:val="00313C51"/>
    <w:rsid w:val="00554AA8"/>
    <w:rsid w:val="006D0FFF"/>
    <w:rsid w:val="00BA5CC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65F710-EEFD-480C-8840-A65318A218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4AA8"/>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581</Words>
  <Characters>3200</Characters>
  <Application>Microsoft Office Word</Application>
  <DocSecurity>0</DocSecurity>
  <Lines>26</Lines>
  <Paragraphs>7</Paragraphs>
  <ScaleCrop>false</ScaleCrop>
  <Company/>
  <LinksUpToDate>false</LinksUpToDate>
  <CharactersWithSpaces>3774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naima</cp:lastModifiedBy>
  <cp:revision>3</cp:revision>
  <dcterms:created xsi:type="dcterms:W3CDTF">2017-12-25T11:52:00Z</dcterms:created>
  <dcterms:modified xsi:type="dcterms:W3CDTF">2018-05-17T11:03:00Z</dcterms:modified>
</cp:coreProperties>
</file>