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513DA" w:rsidRDefault="001513DA" w:rsidP="001513DA">
      <w:pPr>
        <w:pStyle w:val="En-tte"/>
        <w:jc w:val="center"/>
        <w:rPr>
          <w:sz w:val="22"/>
          <w:szCs w:val="22"/>
        </w:rPr>
      </w:pPr>
      <w:r>
        <w:rPr>
          <w:sz w:val="22"/>
          <w:szCs w:val="22"/>
        </w:rPr>
        <w:t>UNIVERSITE DES SCIENCES ET DE LA TECHNOLOGIE HOUARI BOUMEDIENE</w:t>
      </w:r>
    </w:p>
    <w:p w:rsidR="001513DA" w:rsidRDefault="001513DA" w:rsidP="001513DA">
      <w:pPr>
        <w:pStyle w:val="En-tte"/>
        <w:jc w:val="center"/>
        <w:rPr>
          <w:sz w:val="22"/>
          <w:szCs w:val="22"/>
        </w:rPr>
      </w:pPr>
      <w:r>
        <w:rPr>
          <w:sz w:val="22"/>
          <w:szCs w:val="22"/>
        </w:rPr>
        <w:t xml:space="preserve">FACULTE DE PHYSIQUE </w:t>
      </w:r>
    </w:p>
    <w:p w:rsidR="001513DA" w:rsidRDefault="001513DA" w:rsidP="001513DA">
      <w:pPr>
        <w:pStyle w:val="En-tte"/>
        <w:jc w:val="center"/>
        <w:rPr>
          <w:sz w:val="22"/>
          <w:szCs w:val="22"/>
        </w:rPr>
      </w:pPr>
      <w:r>
        <w:rPr>
          <w:sz w:val="22"/>
          <w:szCs w:val="22"/>
        </w:rPr>
        <w:t>DEPARTEMENT DE PHYSIQUE DES RAYONNEMENTS</w:t>
      </w:r>
    </w:p>
    <w:p w:rsidR="001513DA" w:rsidRDefault="001513DA" w:rsidP="00FF4883">
      <w:pPr>
        <w:pStyle w:val="En-tte"/>
        <w:jc w:val="center"/>
        <w:rPr>
          <w:sz w:val="22"/>
          <w:szCs w:val="22"/>
        </w:rPr>
      </w:pPr>
      <w:r>
        <w:rPr>
          <w:sz w:val="22"/>
          <w:szCs w:val="22"/>
        </w:rPr>
        <w:t>Spécialité : Sciences Nucléaires</w:t>
      </w:r>
    </w:p>
    <w:p w:rsidR="00FF4883" w:rsidRPr="00FF4883" w:rsidRDefault="00FF4883" w:rsidP="00FF4883">
      <w:pPr>
        <w:pStyle w:val="En-tte"/>
        <w:jc w:val="center"/>
        <w:rPr>
          <w:sz w:val="22"/>
          <w:szCs w:val="22"/>
        </w:rPr>
      </w:pPr>
    </w:p>
    <w:p w:rsidR="001513DA" w:rsidRDefault="001513DA" w:rsidP="001513DA">
      <w:pPr>
        <w:jc w:val="center"/>
        <w:rPr>
          <w:b/>
          <w:bCs/>
          <w:sz w:val="24"/>
          <w:szCs w:val="24"/>
          <w:vertAlign w:val="superscript"/>
        </w:rPr>
      </w:pPr>
      <w:r>
        <w:t xml:space="preserve">Présentée par : Leila </w:t>
      </w:r>
      <w:proofErr w:type="spellStart"/>
      <w:r>
        <w:t>Yettou</w:t>
      </w:r>
      <w:proofErr w:type="spellEnd"/>
      <w:r w:rsidRPr="005C6448">
        <w:rPr>
          <w:b/>
          <w:bCs/>
          <w:sz w:val="24"/>
          <w:szCs w:val="24"/>
          <w:vertAlign w:val="superscript"/>
        </w:rPr>
        <w:t>*</w:t>
      </w:r>
    </w:p>
    <w:p w:rsidR="001513DA" w:rsidRPr="0056033A" w:rsidRDefault="001513DA" w:rsidP="00FF4883">
      <w:pPr>
        <w:spacing w:line="240" w:lineRule="auto"/>
        <w:jc w:val="center"/>
        <w:rPr>
          <w:rFonts w:ascii="Times New Roman" w:hAnsi="Times New Roman"/>
          <w:i/>
          <w:sz w:val="24"/>
          <w:szCs w:val="24"/>
        </w:rPr>
      </w:pPr>
      <w:r w:rsidRPr="0056033A">
        <w:rPr>
          <w:rFonts w:ascii="Times New Roman" w:hAnsi="Times New Roman"/>
          <w:i/>
          <w:sz w:val="24"/>
          <w:szCs w:val="24"/>
        </w:rPr>
        <w:t>Analyse des réactions nucléaires induites par des neutrons rapides dans le cadre des modèles d’évaporation et de pré-équilibre. Calcul des sections ef</w:t>
      </w:r>
      <w:r>
        <w:rPr>
          <w:rFonts w:ascii="Times New Roman" w:hAnsi="Times New Roman"/>
          <w:i/>
          <w:sz w:val="24"/>
          <w:szCs w:val="24"/>
        </w:rPr>
        <w:t>ficaces des particules chargées.</w:t>
      </w:r>
    </w:p>
    <w:p w:rsidR="001513DA" w:rsidRDefault="001513DA" w:rsidP="00FF4883">
      <w:pPr>
        <w:pBdr>
          <w:top w:val="single" w:sz="4" w:space="1" w:color="auto"/>
          <w:left w:val="single" w:sz="4" w:space="4" w:color="auto"/>
          <w:bottom w:val="single" w:sz="4" w:space="1" w:color="auto"/>
          <w:right w:val="single" w:sz="4" w:space="4" w:color="auto"/>
        </w:pBdr>
        <w:jc w:val="both"/>
        <w:rPr>
          <w:rFonts w:ascii="Times New Roman" w:eastAsia="Times New Roman" w:hAnsi="Times New Roman" w:cs="Times New Roman"/>
          <w:lang w:eastAsia="fr-FR"/>
        </w:rPr>
      </w:pPr>
      <w:r w:rsidRPr="00FF4883">
        <w:rPr>
          <w:rFonts w:ascii="Times New Roman" w:hAnsi="Times New Roman" w:cs="Times New Roman"/>
          <w:b/>
          <w:bCs/>
          <w:sz w:val="24"/>
          <w:szCs w:val="24"/>
        </w:rPr>
        <w:t xml:space="preserve">Résumé :      </w:t>
      </w:r>
      <w:r w:rsidRPr="00FF4883">
        <w:rPr>
          <w:rFonts w:ascii="Times New Roman" w:eastAsia="Times New Roman" w:hAnsi="Times New Roman" w:cs="Times New Roman"/>
          <w:sz w:val="24"/>
          <w:szCs w:val="24"/>
          <w:lang w:eastAsia="fr-FR"/>
        </w:rPr>
        <w:t>Les sections efficaces calculées pour neutrons ont un intérêt en elles-mêmes, et la disponibilité de</w:t>
      </w:r>
      <w:r w:rsidRPr="003F7A59">
        <w:rPr>
          <w:rFonts w:ascii="Times New Roman" w:eastAsia="Times New Roman" w:hAnsi="Times New Roman" w:cs="Times New Roman"/>
          <w:lang w:eastAsia="fr-FR"/>
        </w:rPr>
        <w:t xml:space="preserve"> telles sections pour de nombreux canaux de réaction et énergies de neutrons incidents est un prérequis fondamental à toute évaluation théorique. Celles-ci permettent d’améliorer les descriptions des modèles et de guider les calculs. </w:t>
      </w:r>
      <w:r w:rsidRPr="003F7A59">
        <w:rPr>
          <w:rFonts w:ascii="Times New Roman" w:hAnsi="Times New Roman" w:cs="Times New Roman"/>
        </w:rPr>
        <w:t>Dans ce travail, nous avons mené une étude théorique dans le cadre du modèle statistique d’évaporation de Hauser-</w:t>
      </w:r>
      <w:proofErr w:type="spellStart"/>
      <w:r w:rsidRPr="003F7A59">
        <w:rPr>
          <w:rFonts w:ascii="Times New Roman" w:hAnsi="Times New Roman" w:cs="Times New Roman"/>
        </w:rPr>
        <w:t>Feshbach</w:t>
      </w:r>
      <w:proofErr w:type="spellEnd"/>
      <w:r w:rsidRPr="003F7A59">
        <w:rPr>
          <w:rFonts w:ascii="Times New Roman" w:hAnsi="Times New Roman" w:cs="Times New Roman"/>
        </w:rPr>
        <w:t xml:space="preserve"> et le modèle exciton décrivant le processus de pré-équilibre des réactions </w:t>
      </w:r>
      <w:r w:rsidRPr="003F7A59">
        <w:rPr>
          <w:rFonts w:ascii="Times New Roman" w:eastAsia="Times New Roman" w:hAnsi="Times New Roman" w:cs="Times New Roman"/>
          <w:lang w:eastAsia="fr-FR"/>
        </w:rPr>
        <w:t>(n, He-3)</w:t>
      </w:r>
      <w:r>
        <w:rPr>
          <w:rFonts w:ascii="Times New Roman" w:eastAsia="Times New Roman" w:hAnsi="Times New Roman" w:cs="Times New Roman"/>
          <w:lang w:eastAsia="fr-FR"/>
        </w:rPr>
        <w:t>,</w:t>
      </w:r>
      <w:r w:rsidRPr="003F7A59">
        <w:rPr>
          <w:rFonts w:ascii="Times New Roman" w:eastAsia="Times New Roman" w:hAnsi="Times New Roman" w:cs="Times New Roman"/>
          <w:lang w:eastAsia="fr-FR"/>
        </w:rPr>
        <w:t xml:space="preserve"> (n, p) </w:t>
      </w:r>
      <w:r>
        <w:rPr>
          <w:rFonts w:ascii="Times New Roman" w:eastAsia="Times New Roman" w:hAnsi="Times New Roman" w:cs="Times New Roman"/>
          <w:lang w:eastAsia="fr-FR"/>
        </w:rPr>
        <w:t xml:space="preserve">et (n, xp) </w:t>
      </w:r>
      <w:r w:rsidRPr="003F7A59">
        <w:rPr>
          <w:rFonts w:ascii="Times New Roman" w:eastAsia="Times New Roman" w:hAnsi="Times New Roman" w:cs="Times New Roman"/>
          <w:lang w:eastAsia="fr-FR"/>
        </w:rPr>
        <w:t xml:space="preserve">afin de mieux expliquer le mécanisme des réactions induites par neutrons rapides d’énergie s’étalant de l’énergie seuil à 15 MeV et </w:t>
      </w:r>
      <w:r>
        <w:rPr>
          <w:rFonts w:ascii="Times New Roman" w:eastAsia="Times New Roman" w:hAnsi="Times New Roman" w:cs="Times New Roman"/>
          <w:lang w:eastAsia="fr-FR"/>
        </w:rPr>
        <w:t>par conséquent</w:t>
      </w:r>
      <w:r w:rsidRPr="003F7A59">
        <w:rPr>
          <w:rFonts w:ascii="Times New Roman" w:eastAsia="Times New Roman" w:hAnsi="Times New Roman" w:cs="Times New Roman"/>
          <w:lang w:eastAsia="fr-FR"/>
        </w:rPr>
        <w:t xml:space="preserve"> avoir une bonne contribution entre nos calculs et les données expérimentales </w:t>
      </w:r>
      <w:r>
        <w:rPr>
          <w:rFonts w:ascii="Times New Roman" w:eastAsia="Times New Roman" w:hAnsi="Times New Roman" w:cs="Times New Roman"/>
          <w:lang w:eastAsia="fr-FR"/>
        </w:rPr>
        <w:t xml:space="preserve">tirées de la bibliothèque </w:t>
      </w:r>
      <w:r w:rsidRPr="003F7A59">
        <w:rPr>
          <w:rFonts w:ascii="Times New Roman" w:eastAsia="Times New Roman" w:hAnsi="Times New Roman" w:cs="Times New Roman"/>
          <w:lang w:eastAsia="fr-FR"/>
        </w:rPr>
        <w:t>d’</w:t>
      </w:r>
      <w:proofErr w:type="spellStart"/>
      <w:r w:rsidRPr="003F7A59">
        <w:rPr>
          <w:rFonts w:ascii="Times New Roman" w:eastAsia="Times New Roman" w:hAnsi="Times New Roman" w:cs="Times New Roman"/>
          <w:lang w:eastAsia="fr-FR"/>
        </w:rPr>
        <w:t>Exfor</w:t>
      </w:r>
      <w:proofErr w:type="spellEnd"/>
      <w:r w:rsidRPr="003F7A59">
        <w:rPr>
          <w:rFonts w:ascii="Times New Roman" w:eastAsia="Times New Roman" w:hAnsi="Times New Roman" w:cs="Times New Roman"/>
          <w:lang w:eastAsia="fr-FR"/>
        </w:rPr>
        <w:t xml:space="preserve">. Nous avons mené aussi une autre étude systématique de la réaction (n, He-3) à l’énergie des neutrons incidents de 14.6 MeV </w:t>
      </w:r>
      <w:r w:rsidRPr="003F7A59">
        <w:rPr>
          <w:rFonts w:ascii="Times New Roman" w:hAnsi="Times New Roman" w:cs="Times New Roman"/>
        </w:rPr>
        <w:t>pour une gamme de noyaux de nombre de masse compris entre 31 et 181.</w:t>
      </w:r>
      <w:r>
        <w:rPr>
          <w:rFonts w:ascii="Times New Roman" w:eastAsiaTheme="minorEastAsia" w:hAnsi="Times New Roman"/>
        </w:rPr>
        <w:t xml:space="preserve">Cependant, comme la réaction </w:t>
      </w:r>
      <w:r w:rsidRPr="003F7A59">
        <w:rPr>
          <w:rFonts w:ascii="Times New Roman" w:eastAsia="Times New Roman" w:hAnsi="Times New Roman" w:cs="Times New Roman"/>
          <w:lang w:eastAsia="fr-FR"/>
        </w:rPr>
        <w:t>(n, He-3)</w:t>
      </w:r>
      <w:r>
        <w:rPr>
          <w:rFonts w:ascii="Times New Roman" w:eastAsia="Times New Roman" w:hAnsi="Times New Roman" w:cs="Times New Roman"/>
          <w:lang w:eastAsia="fr-FR"/>
        </w:rPr>
        <w:t xml:space="preserve"> est l’une des réactions les plus faibles, le calcul théorique nécessite beaucoup de paramètres à introduire et un calcul plus ou moins long. Donc, les évaluations rapides basées sur les études systématiques sont très pratiques et permettent de déterminer les sections efficaces qui ne peuvent être mesurées. Dans cette partie, </w:t>
      </w:r>
      <w:r w:rsidRPr="002D0B9D">
        <w:rPr>
          <w:rFonts w:ascii="Times New Roman" w:hAnsi="Times New Roman" w:cs="Times New Roman"/>
        </w:rPr>
        <w:t xml:space="preserve">nous avons développé une formule semi-empirique qui dépend uniquement des nombres de masse </w:t>
      </w:r>
      <w:r w:rsidRPr="002D0B9D">
        <w:rPr>
          <w:rFonts w:ascii="Times New Roman" w:hAnsi="Times New Roman" w:cs="Times New Roman"/>
          <w:i/>
        </w:rPr>
        <w:t>A</w:t>
      </w:r>
      <w:r w:rsidRPr="002D0B9D">
        <w:rPr>
          <w:rFonts w:ascii="Times New Roman" w:hAnsi="Times New Roman" w:cs="Times New Roman"/>
        </w:rPr>
        <w:t xml:space="preserve"> et des nombres de charges </w:t>
      </w:r>
      <w:r w:rsidRPr="002D0B9D">
        <w:rPr>
          <w:rFonts w:ascii="Times New Roman" w:hAnsi="Times New Roman" w:cs="Times New Roman"/>
          <w:i/>
        </w:rPr>
        <w:t xml:space="preserve">Z, </w:t>
      </w:r>
      <w:r w:rsidRPr="002D0B9D">
        <w:rPr>
          <w:rFonts w:ascii="Times New Roman" w:hAnsi="Times New Roman" w:cs="Times New Roman"/>
        </w:rPr>
        <w:t>afin de systématiser les sections efficaces des réactions (n, He-3) à l’énergie des neutrons de 14.6 MeV</w:t>
      </w:r>
      <w:r>
        <w:rPr>
          <w:rFonts w:ascii="Times New Roman" w:hAnsi="Times New Roman" w:cs="Times New Roman"/>
        </w:rPr>
        <w:t xml:space="preserve">. </w:t>
      </w:r>
      <w:r w:rsidRPr="003F7A59">
        <w:rPr>
          <w:rFonts w:ascii="Times New Roman" w:hAnsi="Times New Roman" w:cs="Times New Roman"/>
        </w:rPr>
        <w:t xml:space="preserve">A cet effet, nous avons utilisé les codes Empire 3.2 et </w:t>
      </w:r>
      <w:proofErr w:type="spellStart"/>
      <w:r w:rsidRPr="003F7A59">
        <w:rPr>
          <w:rFonts w:ascii="Times New Roman" w:hAnsi="Times New Roman" w:cs="Times New Roman"/>
        </w:rPr>
        <w:t>Talys</w:t>
      </w:r>
      <w:proofErr w:type="spellEnd"/>
      <w:r w:rsidRPr="003F7A59">
        <w:rPr>
          <w:rFonts w:ascii="Times New Roman" w:hAnsi="Times New Roman" w:cs="Times New Roman"/>
        </w:rPr>
        <w:t xml:space="preserve"> 1.6 pour les calculs théoriques</w:t>
      </w:r>
      <w:r>
        <w:rPr>
          <w:rFonts w:ascii="Times New Roman" w:hAnsi="Times New Roman" w:cs="Times New Roman"/>
        </w:rPr>
        <w:t xml:space="preserve"> des réactions </w:t>
      </w:r>
      <w:r>
        <w:rPr>
          <w:rFonts w:ascii="Times New Roman" w:eastAsia="Times New Roman" w:hAnsi="Times New Roman" w:cs="Times New Roman"/>
          <w:lang w:eastAsia="fr-FR"/>
        </w:rPr>
        <w:t xml:space="preserve">(n, xp) et </w:t>
      </w:r>
      <w:r w:rsidRPr="003F7A59">
        <w:rPr>
          <w:rFonts w:ascii="Times New Roman" w:eastAsia="Times New Roman" w:hAnsi="Times New Roman" w:cs="Times New Roman"/>
          <w:lang w:eastAsia="fr-FR"/>
        </w:rPr>
        <w:t>(n, p)</w:t>
      </w:r>
      <w:r>
        <w:rPr>
          <w:rFonts w:ascii="Times New Roman" w:eastAsia="Times New Roman" w:hAnsi="Times New Roman" w:cs="Times New Roman"/>
          <w:lang w:eastAsia="fr-FR"/>
        </w:rPr>
        <w:t>.</w:t>
      </w:r>
      <w:r>
        <w:rPr>
          <w:rFonts w:ascii="Times New Roman" w:hAnsi="Times New Roman" w:cs="Times New Roman"/>
        </w:rPr>
        <w:t xml:space="preserve">Les paramètres du modèle optique choisis de Koning et Delaroche pour les neutrons et les protons et ceux de </w:t>
      </w:r>
      <w:proofErr w:type="spellStart"/>
      <w:r>
        <w:rPr>
          <w:rFonts w:ascii="Times New Roman" w:hAnsi="Times New Roman" w:cs="Times New Roman"/>
        </w:rPr>
        <w:t>Watanabe</w:t>
      </w:r>
      <w:proofErr w:type="spellEnd"/>
      <w:r>
        <w:rPr>
          <w:rFonts w:ascii="Times New Roman" w:hAnsi="Times New Roman" w:cs="Times New Roman"/>
        </w:rPr>
        <w:t xml:space="preserve"> pour les deutons, le tritium, l’hélium3 et les particules alphas nous ont permis de calculer les coefficients de transmission en utilisant le module Ecis06 du code </w:t>
      </w:r>
      <w:proofErr w:type="spellStart"/>
      <w:r>
        <w:rPr>
          <w:rFonts w:ascii="Times New Roman" w:hAnsi="Times New Roman" w:cs="Times New Roman"/>
        </w:rPr>
        <w:t>Talys</w:t>
      </w:r>
      <w:proofErr w:type="spellEnd"/>
      <w:r>
        <w:rPr>
          <w:rFonts w:ascii="Times New Roman" w:hAnsi="Times New Roman" w:cs="Times New Roman"/>
        </w:rPr>
        <w:t xml:space="preserve"> 1.6 pour les réactions </w:t>
      </w:r>
      <w:r w:rsidRPr="003F7A59">
        <w:rPr>
          <w:rFonts w:ascii="Times New Roman" w:eastAsia="Times New Roman" w:hAnsi="Times New Roman" w:cs="Times New Roman"/>
          <w:lang w:eastAsia="fr-FR"/>
        </w:rPr>
        <w:t>(n, He-3)</w:t>
      </w:r>
      <w:r>
        <w:rPr>
          <w:rFonts w:ascii="Times New Roman" w:eastAsia="Times New Roman" w:hAnsi="Times New Roman" w:cs="Times New Roman"/>
          <w:lang w:eastAsia="fr-FR"/>
        </w:rPr>
        <w:t xml:space="preserve"> et</w:t>
      </w:r>
      <w:r w:rsidRPr="003F7A59">
        <w:rPr>
          <w:rFonts w:ascii="Times New Roman" w:eastAsia="Times New Roman" w:hAnsi="Times New Roman" w:cs="Times New Roman"/>
          <w:lang w:eastAsia="fr-FR"/>
        </w:rPr>
        <w:t xml:space="preserve"> (n, p)</w:t>
      </w:r>
      <w:r>
        <w:rPr>
          <w:rFonts w:ascii="Times New Roman" w:hAnsi="Times New Roman" w:cs="Times New Roman"/>
        </w:rPr>
        <w:t xml:space="preserve">. Le modèle de Back </w:t>
      </w:r>
      <w:proofErr w:type="spellStart"/>
      <w:r>
        <w:rPr>
          <w:rFonts w:ascii="Times New Roman" w:hAnsi="Times New Roman" w:cs="Times New Roman"/>
        </w:rPr>
        <w:t>Shifted</w:t>
      </w:r>
      <w:proofErr w:type="spellEnd"/>
      <w:r>
        <w:rPr>
          <w:rFonts w:ascii="Times New Roman" w:hAnsi="Times New Roman" w:cs="Times New Roman"/>
        </w:rPr>
        <w:t xml:space="preserve"> Fermi </w:t>
      </w:r>
      <w:proofErr w:type="spellStart"/>
      <w:r>
        <w:rPr>
          <w:rFonts w:ascii="Times New Roman" w:hAnsi="Times New Roman" w:cs="Times New Roman"/>
        </w:rPr>
        <w:t>Gas</w:t>
      </w:r>
      <w:proofErr w:type="spellEnd"/>
      <w:r>
        <w:rPr>
          <w:rFonts w:ascii="Times New Roman" w:hAnsi="Times New Roman" w:cs="Times New Roman"/>
        </w:rPr>
        <w:t xml:space="preserve"> Model a été utilisé pour le calcul de la densité de niveaux pour ces mêmes réactions. </w:t>
      </w:r>
      <w:r w:rsidRPr="00792B21">
        <w:rPr>
          <w:rFonts w:asciiTheme="majorHAnsi" w:hAnsiTheme="majorHAnsi"/>
        </w:rPr>
        <w:t>Les fonctions d’excitation</w:t>
      </w:r>
      <w:r>
        <w:rPr>
          <w:rFonts w:asciiTheme="majorHAnsi" w:hAnsiTheme="majorHAnsi"/>
        </w:rPr>
        <w:t>s</w:t>
      </w:r>
      <w:r w:rsidRPr="00792B21">
        <w:rPr>
          <w:rFonts w:asciiTheme="majorHAnsi" w:hAnsiTheme="majorHAnsi"/>
        </w:rPr>
        <w:t xml:space="preserve"> de</w:t>
      </w:r>
      <w:r>
        <w:rPr>
          <w:rFonts w:asciiTheme="majorHAnsi" w:hAnsiTheme="majorHAnsi"/>
        </w:rPr>
        <w:t>s</w:t>
      </w:r>
      <w:r w:rsidRPr="00792B21">
        <w:rPr>
          <w:rFonts w:asciiTheme="majorHAnsi" w:hAnsiTheme="majorHAnsi"/>
        </w:rPr>
        <w:t xml:space="preserve"> réactions étudiées  ont été calculées et </w:t>
      </w:r>
      <w:r>
        <w:rPr>
          <w:rFonts w:asciiTheme="majorHAnsi" w:hAnsiTheme="majorHAnsi"/>
        </w:rPr>
        <w:t xml:space="preserve">comparées </w:t>
      </w:r>
      <w:r w:rsidRPr="00792B21">
        <w:rPr>
          <w:rFonts w:asciiTheme="majorHAnsi" w:hAnsiTheme="majorHAnsi"/>
        </w:rPr>
        <w:t xml:space="preserve"> aux données expérimentales </w:t>
      </w:r>
      <w:r>
        <w:rPr>
          <w:rFonts w:asciiTheme="majorHAnsi" w:hAnsiTheme="majorHAnsi"/>
        </w:rPr>
        <w:t>tirées de la bibliothèque d’</w:t>
      </w:r>
      <w:proofErr w:type="spellStart"/>
      <w:r>
        <w:rPr>
          <w:rFonts w:asciiTheme="majorHAnsi" w:hAnsiTheme="majorHAnsi"/>
        </w:rPr>
        <w:t>Exfor</w:t>
      </w:r>
      <w:r w:rsidRPr="00792B21">
        <w:rPr>
          <w:rFonts w:asciiTheme="majorHAnsi" w:hAnsiTheme="majorHAnsi"/>
        </w:rPr>
        <w:t>sous</w:t>
      </w:r>
      <w:proofErr w:type="spellEnd"/>
      <w:r w:rsidRPr="00792B21">
        <w:rPr>
          <w:rFonts w:asciiTheme="majorHAnsi" w:hAnsiTheme="majorHAnsi"/>
        </w:rPr>
        <w:t xml:space="preserve"> forme graphique</w:t>
      </w:r>
      <w:r>
        <w:rPr>
          <w:rFonts w:asciiTheme="majorHAnsi" w:hAnsiTheme="majorHAnsi"/>
        </w:rPr>
        <w:t>.</w:t>
      </w:r>
      <w:r w:rsidRPr="00792B21">
        <w:rPr>
          <w:rFonts w:asciiTheme="majorHAnsi" w:hAnsiTheme="majorHAnsi"/>
        </w:rPr>
        <w:t xml:space="preserve"> Un </w:t>
      </w:r>
      <w:r>
        <w:rPr>
          <w:rFonts w:asciiTheme="majorHAnsi" w:hAnsiTheme="majorHAnsi"/>
        </w:rPr>
        <w:t xml:space="preserve">bon </w:t>
      </w:r>
      <w:r w:rsidRPr="00792B21">
        <w:rPr>
          <w:rFonts w:asciiTheme="majorHAnsi" w:hAnsiTheme="majorHAnsi"/>
        </w:rPr>
        <w:t xml:space="preserve">accord </w:t>
      </w:r>
      <w:r>
        <w:rPr>
          <w:rFonts w:asciiTheme="majorHAnsi" w:hAnsiTheme="majorHAnsi"/>
        </w:rPr>
        <w:t>existe</w:t>
      </w:r>
      <w:r w:rsidRPr="00792B21">
        <w:rPr>
          <w:rFonts w:asciiTheme="majorHAnsi" w:hAnsiTheme="majorHAnsi"/>
        </w:rPr>
        <w:t xml:space="preserve"> entre </w:t>
      </w:r>
      <w:r>
        <w:rPr>
          <w:rFonts w:asciiTheme="majorHAnsi" w:hAnsiTheme="majorHAnsi"/>
        </w:rPr>
        <w:t>nos</w:t>
      </w:r>
      <w:r w:rsidRPr="00792B21">
        <w:rPr>
          <w:rFonts w:asciiTheme="majorHAnsi" w:hAnsiTheme="majorHAnsi"/>
        </w:rPr>
        <w:t xml:space="preserve"> calcul</w:t>
      </w:r>
      <w:r>
        <w:rPr>
          <w:rFonts w:asciiTheme="majorHAnsi" w:hAnsiTheme="majorHAnsi"/>
        </w:rPr>
        <w:t>s</w:t>
      </w:r>
      <w:r w:rsidRPr="00792B21">
        <w:rPr>
          <w:rFonts w:asciiTheme="majorHAnsi" w:hAnsiTheme="majorHAnsi"/>
        </w:rPr>
        <w:t xml:space="preserve"> théorique</w:t>
      </w:r>
      <w:r>
        <w:rPr>
          <w:rFonts w:asciiTheme="majorHAnsi" w:hAnsiTheme="majorHAnsi"/>
        </w:rPr>
        <w:t>s</w:t>
      </w:r>
      <w:r w:rsidRPr="00792B21">
        <w:rPr>
          <w:rFonts w:asciiTheme="majorHAnsi" w:hAnsiTheme="majorHAnsi"/>
        </w:rPr>
        <w:t xml:space="preserve"> et les </w:t>
      </w:r>
      <w:proofErr w:type="gramStart"/>
      <w:r>
        <w:rPr>
          <w:rFonts w:asciiTheme="majorHAnsi" w:hAnsiTheme="majorHAnsi"/>
        </w:rPr>
        <w:t>données</w:t>
      </w:r>
      <w:r w:rsidRPr="00792B21">
        <w:rPr>
          <w:rFonts w:asciiTheme="majorHAnsi" w:hAnsiTheme="majorHAnsi"/>
        </w:rPr>
        <w:t>expérimentales</w:t>
      </w:r>
      <w:r>
        <w:rPr>
          <w:rFonts w:asciiTheme="majorHAnsi" w:hAnsiTheme="majorHAnsi"/>
        </w:rPr>
        <w:t> ,</w:t>
      </w:r>
      <w:proofErr w:type="gramEnd"/>
      <w:r>
        <w:rPr>
          <w:rFonts w:asciiTheme="majorHAnsi" w:hAnsiTheme="majorHAnsi"/>
        </w:rPr>
        <w:t xml:space="preserve"> d’où il nous a permis de valider notre étude </w:t>
      </w:r>
      <w:r w:rsidRPr="00792B21">
        <w:rPr>
          <w:rFonts w:asciiTheme="majorHAnsi" w:hAnsiTheme="majorHAnsi"/>
        </w:rPr>
        <w:t>paramétrique.</w:t>
      </w:r>
      <w:r>
        <w:rPr>
          <w:rFonts w:ascii="Times New Roman" w:hAnsi="Times New Roman" w:cs="Times New Roman"/>
        </w:rPr>
        <w:t xml:space="preserve">Pour la réaction (n, xp), nous avons calculé les sections efficaces doubles différentielles et les sections efficaces de production sur le noyau du cuivre </w:t>
      </w:r>
      <w:r>
        <w:rPr>
          <w:rFonts w:ascii="Times New Roman" w:hAnsi="Times New Roman" w:cs="Times New Roman"/>
          <w:vertAlign w:val="superscript"/>
        </w:rPr>
        <w:t>63</w:t>
      </w:r>
      <w:r>
        <w:rPr>
          <w:rFonts w:ascii="Times New Roman" w:hAnsi="Times New Roman" w:cs="Times New Roman"/>
        </w:rPr>
        <w:t xml:space="preserve">Cu en utilisant le code Empire 3.2. Dans nos calculs, en comparant avec les données expérimentales de Ahmad et </w:t>
      </w:r>
      <w:proofErr w:type="gramStart"/>
      <w:r>
        <w:rPr>
          <w:rFonts w:ascii="Times New Roman" w:hAnsi="Times New Roman" w:cs="Times New Roman"/>
        </w:rPr>
        <w:t>al.,</w:t>
      </w:r>
      <w:proofErr w:type="gramEnd"/>
      <w:r>
        <w:rPr>
          <w:rFonts w:ascii="Times New Roman" w:hAnsi="Times New Roman" w:cs="Times New Roman"/>
        </w:rPr>
        <w:t xml:space="preserve"> les paramètres du modèle optique sont les mêmes que ceux choisis pour les neutrons et les protons des réactions </w:t>
      </w:r>
      <w:r w:rsidRPr="003F7A59">
        <w:rPr>
          <w:rFonts w:ascii="Times New Roman" w:eastAsia="Times New Roman" w:hAnsi="Times New Roman" w:cs="Times New Roman"/>
          <w:lang w:eastAsia="fr-FR"/>
        </w:rPr>
        <w:t>(n, He-3)</w:t>
      </w:r>
      <w:r>
        <w:rPr>
          <w:rFonts w:ascii="Times New Roman" w:eastAsia="Times New Roman" w:hAnsi="Times New Roman" w:cs="Times New Roman"/>
          <w:lang w:eastAsia="fr-FR"/>
        </w:rPr>
        <w:t xml:space="preserve"> et</w:t>
      </w:r>
      <w:r w:rsidRPr="003F7A59">
        <w:rPr>
          <w:rFonts w:ascii="Times New Roman" w:eastAsia="Times New Roman" w:hAnsi="Times New Roman" w:cs="Times New Roman"/>
          <w:lang w:eastAsia="fr-FR"/>
        </w:rPr>
        <w:t xml:space="preserve"> (n, p)</w:t>
      </w:r>
      <w:r>
        <w:rPr>
          <w:rFonts w:ascii="Times New Roman" w:eastAsia="Times New Roman" w:hAnsi="Times New Roman" w:cs="Times New Roman"/>
          <w:lang w:eastAsia="fr-FR"/>
        </w:rPr>
        <w:t>, par contre pour le calcul de la densité de niveaux nous nous sommes basés sur le modèle du gaz de Fermi. Le formalisme des voies couplées avec les paramètres du potentiel optique de Morillon choisis nous ont permis de calculer les coefficients de transmissions, alors que le modèle microscopique de Hartree-</w:t>
      </w:r>
      <w:proofErr w:type="spellStart"/>
      <w:r>
        <w:rPr>
          <w:rFonts w:ascii="Times New Roman" w:eastAsia="Times New Roman" w:hAnsi="Times New Roman" w:cs="Times New Roman"/>
          <w:lang w:eastAsia="fr-FR"/>
        </w:rPr>
        <w:t>Fock</w:t>
      </w:r>
      <w:proofErr w:type="spellEnd"/>
      <w:r>
        <w:rPr>
          <w:rFonts w:ascii="Times New Roman" w:eastAsia="Times New Roman" w:hAnsi="Times New Roman" w:cs="Times New Roman"/>
          <w:lang w:eastAsia="fr-FR"/>
        </w:rPr>
        <w:t>-</w:t>
      </w:r>
      <w:proofErr w:type="spellStart"/>
      <w:r>
        <w:rPr>
          <w:rFonts w:ascii="Times New Roman" w:eastAsia="Times New Roman" w:hAnsi="Times New Roman" w:cs="Times New Roman"/>
          <w:lang w:eastAsia="fr-FR"/>
        </w:rPr>
        <w:t>Bogoliubov</w:t>
      </w:r>
      <w:proofErr w:type="spellEnd"/>
      <w:r>
        <w:rPr>
          <w:rFonts w:ascii="Times New Roman" w:eastAsia="Times New Roman" w:hAnsi="Times New Roman" w:cs="Times New Roman"/>
          <w:lang w:eastAsia="fr-FR"/>
        </w:rPr>
        <w:t xml:space="preserve"> a </w:t>
      </w:r>
      <w:r w:rsidRPr="00BA0B7F">
        <w:rPr>
          <w:rFonts w:ascii="Times New Roman" w:eastAsia="Times New Roman" w:hAnsi="Times New Roman" w:cs="Times New Roman"/>
          <w:lang w:eastAsia="fr-FR"/>
        </w:rPr>
        <w:t xml:space="preserve">été </w:t>
      </w:r>
      <w:r>
        <w:rPr>
          <w:rFonts w:ascii="Times New Roman" w:eastAsia="Times New Roman" w:hAnsi="Times New Roman" w:cs="Times New Roman"/>
          <w:lang w:eastAsia="fr-FR"/>
        </w:rPr>
        <w:t xml:space="preserve">introduit </w:t>
      </w:r>
      <w:r w:rsidRPr="00BA0B7F">
        <w:rPr>
          <w:rFonts w:ascii="Times New Roman" w:hAnsi="Times New Roman"/>
        </w:rPr>
        <w:t>pour le calcul de la densité de niveaux.</w:t>
      </w:r>
      <w:r>
        <w:rPr>
          <w:rFonts w:ascii="Times New Roman" w:eastAsia="Times New Roman" w:hAnsi="Times New Roman" w:cs="Times New Roman"/>
          <w:lang w:eastAsia="fr-FR"/>
        </w:rPr>
        <w:t xml:space="preserve"> De plus la sensibilité des paramètres</w:t>
      </w:r>
      <w:r w:rsidRPr="00356282">
        <w:rPr>
          <w:rFonts w:ascii="Times New Roman" w:hAnsi="Times New Roman"/>
        </w:rPr>
        <w:t xml:space="preserve"> de spin de coupure </w:t>
      </w:r>
      <m:oMath>
        <m:sSup>
          <m:sSupPr>
            <m:ctrlPr>
              <w:rPr>
                <w:rFonts w:ascii="Cambria Math" w:hAnsi="Cambria Math"/>
                <w:i/>
                <w:sz w:val="24"/>
                <w:szCs w:val="24"/>
                <w:lang w:val="en-US"/>
              </w:rPr>
            </m:ctrlPr>
          </m:sSupPr>
          <m:e>
            <m:r>
              <w:rPr>
                <w:rFonts w:ascii="Cambria Math" w:hAnsi="Cambria Math"/>
                <w:sz w:val="24"/>
                <w:szCs w:val="24"/>
                <w:lang w:val="en-US"/>
              </w:rPr>
              <m:t>σ</m:t>
            </m:r>
          </m:e>
          <m:sup>
            <m:r>
              <w:rPr>
                <w:rFonts w:ascii="Cambria Math" w:hAnsi="Cambria Math"/>
                <w:sz w:val="24"/>
                <w:szCs w:val="24"/>
              </w:rPr>
              <m:t>2</m:t>
            </m:r>
          </m:sup>
        </m:sSup>
      </m:oMath>
      <w:r w:rsidRPr="00356282">
        <w:rPr>
          <w:rFonts w:ascii="Times New Roman" w:hAnsi="Times New Roman"/>
        </w:rPr>
        <w:t>du modèle exciton</w:t>
      </w:r>
      <w:r>
        <w:rPr>
          <w:rFonts w:ascii="Times New Roman" w:eastAsia="Times New Roman" w:hAnsi="Times New Roman" w:cs="Times New Roman"/>
          <w:lang w:eastAsia="fr-FR"/>
        </w:rPr>
        <w:t xml:space="preserve">, </w:t>
      </w:r>
      <w:r w:rsidRPr="00356282">
        <w:rPr>
          <w:rFonts w:ascii="Times New Roman" w:eastAsia="Times New Roman" w:hAnsi="Times New Roman"/>
        </w:rPr>
        <w:t xml:space="preserve">de la densité </w:t>
      </w:r>
      <w:r w:rsidRPr="00356282">
        <w:rPr>
          <w:rFonts w:ascii="Times New Roman" w:hAnsi="Times New Roman"/>
        </w:rPr>
        <w:t>de la particule individuelle</w:t>
      </w:r>
      <w:r w:rsidRPr="00356282">
        <w:rPr>
          <w:rFonts w:ascii="Times New Roman" w:hAnsi="Times New Roman"/>
          <w:i/>
        </w:rPr>
        <w:t>g</w:t>
      </w:r>
      <w:r w:rsidRPr="00356282">
        <w:rPr>
          <w:rFonts w:ascii="Times New Roman" w:hAnsi="Times New Roman"/>
        </w:rPr>
        <w:t xml:space="preserve"> et celui de la </w:t>
      </w:r>
      <w:r w:rsidRPr="00356282">
        <w:rPr>
          <w:rFonts w:ascii="Times New Roman" w:eastAsia="Times New Roman" w:hAnsi="Times New Roman"/>
        </w:rPr>
        <w:t>valeur asymptotique</w:t>
      </w:r>
      <m:oMath>
        <m:acc>
          <m:accPr>
            <m:chr m:val="̃"/>
            <m:ctrlPr>
              <w:rPr>
                <w:rFonts w:ascii="Cambria Math" w:eastAsia="Times New Roman" w:hAnsi="Cambria Math"/>
                <w:i/>
              </w:rPr>
            </m:ctrlPr>
          </m:accPr>
          <m:e>
            <m:r>
              <w:rPr>
                <w:rFonts w:ascii="Cambria Math" w:eastAsia="Times New Roman" w:hAnsi="Cambria Math"/>
              </w:rPr>
              <m:t>a</m:t>
            </m:r>
          </m:e>
        </m:acc>
      </m:oMath>
      <w:r>
        <w:rPr>
          <w:rFonts w:ascii="Times New Roman" w:eastAsiaTheme="minorEastAsia" w:hAnsi="Times New Roman"/>
        </w:rPr>
        <w:t xml:space="preserve"> étaient nécessaires dans nos calculs et comparer nos résultats avec les données expérimentales</w:t>
      </w:r>
      <w:r w:rsidR="00FF4883">
        <w:rPr>
          <w:rFonts w:ascii="Times New Roman" w:eastAsiaTheme="minorEastAsia" w:hAnsi="Times New Roman"/>
        </w:rPr>
        <w:t>.</w:t>
      </w:r>
    </w:p>
    <w:sectPr w:rsidR="001513DA" w:rsidSect="00D01C70">
      <w:pgSz w:w="11907" w:h="16839" w:code="9"/>
      <w:pgMar w:top="1417" w:right="1417" w:bottom="1417" w:left="1417"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Cambria Math">
    <w:panose1 w:val="02040503050406030204"/>
    <w:charset w:val="00"/>
    <w:family w:val="roman"/>
    <w:pitch w:val="variable"/>
    <w:sig w:usb0="E00002FF" w:usb1="42002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18"/>
  <w:proofState w:spelling="clean" w:grammar="clean"/>
  <w:defaultTabStop w:val="708"/>
  <w:hyphenationZone w:val="425"/>
  <w:drawingGridHorizontalSpacing w:val="110"/>
  <w:displayHorizontalDrawingGridEvery w:val="2"/>
  <w:displayVerticalDrawingGridEvery w:val="2"/>
  <w:characterSpacingControl w:val="doNotCompress"/>
  <w:compat/>
  <w:rsids>
    <w:rsidRoot w:val="001513DA"/>
    <w:rsid w:val="00001BD9"/>
    <w:rsid w:val="000354CA"/>
    <w:rsid w:val="00091265"/>
    <w:rsid w:val="000928B5"/>
    <w:rsid w:val="000A1B63"/>
    <w:rsid w:val="000C5E78"/>
    <w:rsid w:val="001070B3"/>
    <w:rsid w:val="001513DA"/>
    <w:rsid w:val="001923DD"/>
    <w:rsid w:val="00194410"/>
    <w:rsid w:val="00196E13"/>
    <w:rsid w:val="001E09A4"/>
    <w:rsid w:val="001F4AE3"/>
    <w:rsid w:val="002238CB"/>
    <w:rsid w:val="00251DCE"/>
    <w:rsid w:val="00263F85"/>
    <w:rsid w:val="00270758"/>
    <w:rsid w:val="002943D5"/>
    <w:rsid w:val="002A1494"/>
    <w:rsid w:val="002B29FB"/>
    <w:rsid w:val="002C0F78"/>
    <w:rsid w:val="002D7E28"/>
    <w:rsid w:val="002E0F88"/>
    <w:rsid w:val="002E63B3"/>
    <w:rsid w:val="0033467D"/>
    <w:rsid w:val="00375368"/>
    <w:rsid w:val="003C6029"/>
    <w:rsid w:val="003E25DF"/>
    <w:rsid w:val="00416C75"/>
    <w:rsid w:val="00445E69"/>
    <w:rsid w:val="00447F41"/>
    <w:rsid w:val="00464946"/>
    <w:rsid w:val="0046569C"/>
    <w:rsid w:val="00490247"/>
    <w:rsid w:val="004C3E66"/>
    <w:rsid w:val="004C5B89"/>
    <w:rsid w:val="00510B82"/>
    <w:rsid w:val="00551B7E"/>
    <w:rsid w:val="00562C2C"/>
    <w:rsid w:val="0056539C"/>
    <w:rsid w:val="00570E8D"/>
    <w:rsid w:val="0057569D"/>
    <w:rsid w:val="0059219B"/>
    <w:rsid w:val="005C4213"/>
    <w:rsid w:val="005F4741"/>
    <w:rsid w:val="005F50EC"/>
    <w:rsid w:val="0063762F"/>
    <w:rsid w:val="006C2513"/>
    <w:rsid w:val="006D7529"/>
    <w:rsid w:val="00732AD9"/>
    <w:rsid w:val="00736512"/>
    <w:rsid w:val="00737E8A"/>
    <w:rsid w:val="00753497"/>
    <w:rsid w:val="007A46A0"/>
    <w:rsid w:val="007F7EFF"/>
    <w:rsid w:val="00813234"/>
    <w:rsid w:val="00813917"/>
    <w:rsid w:val="008538AD"/>
    <w:rsid w:val="0087239A"/>
    <w:rsid w:val="00894E55"/>
    <w:rsid w:val="008F5D3B"/>
    <w:rsid w:val="0091340E"/>
    <w:rsid w:val="00916AB9"/>
    <w:rsid w:val="00940B2E"/>
    <w:rsid w:val="00955043"/>
    <w:rsid w:val="00970966"/>
    <w:rsid w:val="009752F5"/>
    <w:rsid w:val="00976791"/>
    <w:rsid w:val="009A111A"/>
    <w:rsid w:val="009C7329"/>
    <w:rsid w:val="00A04353"/>
    <w:rsid w:val="00A204A7"/>
    <w:rsid w:val="00A2609C"/>
    <w:rsid w:val="00A44AB8"/>
    <w:rsid w:val="00A77CA7"/>
    <w:rsid w:val="00A85322"/>
    <w:rsid w:val="00AF3582"/>
    <w:rsid w:val="00AF4C7B"/>
    <w:rsid w:val="00B064F2"/>
    <w:rsid w:val="00B65FA2"/>
    <w:rsid w:val="00B9567E"/>
    <w:rsid w:val="00BE24D9"/>
    <w:rsid w:val="00C171BB"/>
    <w:rsid w:val="00C2171E"/>
    <w:rsid w:val="00C50278"/>
    <w:rsid w:val="00C50768"/>
    <w:rsid w:val="00C71DDD"/>
    <w:rsid w:val="00C8649D"/>
    <w:rsid w:val="00D01C70"/>
    <w:rsid w:val="00D4526E"/>
    <w:rsid w:val="00D51B65"/>
    <w:rsid w:val="00D54CDD"/>
    <w:rsid w:val="00D64AB8"/>
    <w:rsid w:val="00DA1AA5"/>
    <w:rsid w:val="00DD4321"/>
    <w:rsid w:val="00DE23D8"/>
    <w:rsid w:val="00DE2B62"/>
    <w:rsid w:val="00DE3514"/>
    <w:rsid w:val="00E02770"/>
    <w:rsid w:val="00E31779"/>
    <w:rsid w:val="00E343D8"/>
    <w:rsid w:val="00E3442E"/>
    <w:rsid w:val="00E540C0"/>
    <w:rsid w:val="00E901F8"/>
    <w:rsid w:val="00EB3799"/>
    <w:rsid w:val="00EE4733"/>
    <w:rsid w:val="00F121CA"/>
    <w:rsid w:val="00F16E92"/>
    <w:rsid w:val="00F265AE"/>
    <w:rsid w:val="00F3655F"/>
    <w:rsid w:val="00F651E2"/>
    <w:rsid w:val="00F811B7"/>
    <w:rsid w:val="00F82077"/>
    <w:rsid w:val="00FB3C2A"/>
    <w:rsid w:val="00FC1380"/>
    <w:rsid w:val="00FE0871"/>
    <w:rsid w:val="00FE5508"/>
    <w:rsid w:val="00FE5C1E"/>
    <w:rsid w:val="00FF4883"/>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513DA"/>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1513DA"/>
    <w:pPr>
      <w:tabs>
        <w:tab w:val="center" w:pos="4536"/>
        <w:tab w:val="right" w:pos="9072"/>
      </w:tabs>
      <w:spacing w:after="0" w:line="240" w:lineRule="auto"/>
    </w:pPr>
    <w:rPr>
      <w:rFonts w:ascii="Times New Roman" w:eastAsia="Times New Roman" w:hAnsi="Times New Roman" w:cs="Times New Roman"/>
      <w:sz w:val="20"/>
      <w:szCs w:val="20"/>
      <w:lang w:eastAsia="fr-FR"/>
    </w:rPr>
  </w:style>
  <w:style w:type="character" w:customStyle="1" w:styleId="En-tteCar">
    <w:name w:val="En-tête Car"/>
    <w:basedOn w:val="Policepardfaut"/>
    <w:link w:val="En-tte"/>
    <w:uiPriority w:val="99"/>
    <w:rsid w:val="001513DA"/>
    <w:rPr>
      <w:rFonts w:ascii="Times New Roman" w:eastAsia="Times New Roman" w:hAnsi="Times New Roman" w:cs="Times New Roman"/>
      <w:sz w:val="20"/>
      <w:szCs w:val="20"/>
      <w:lang w:eastAsia="fr-FR"/>
    </w:rPr>
  </w:style>
  <w:style w:type="paragraph" w:styleId="Textedebulles">
    <w:name w:val="Balloon Text"/>
    <w:basedOn w:val="Normal"/>
    <w:link w:val="TextedebullesCar"/>
    <w:uiPriority w:val="99"/>
    <w:semiHidden/>
    <w:unhideWhenUsed/>
    <w:rsid w:val="001513DA"/>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1513DA"/>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513DA"/>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1513DA"/>
    <w:pPr>
      <w:tabs>
        <w:tab w:val="center" w:pos="4536"/>
        <w:tab w:val="right" w:pos="9072"/>
      </w:tabs>
      <w:spacing w:after="0" w:line="240" w:lineRule="auto"/>
    </w:pPr>
    <w:rPr>
      <w:rFonts w:ascii="Times New Roman" w:eastAsia="Times New Roman" w:hAnsi="Times New Roman" w:cs="Times New Roman"/>
      <w:sz w:val="20"/>
      <w:szCs w:val="20"/>
      <w:lang w:eastAsia="fr-FR"/>
    </w:rPr>
  </w:style>
  <w:style w:type="character" w:customStyle="1" w:styleId="En-tteCar">
    <w:name w:val="En-tête Car"/>
    <w:basedOn w:val="Policepardfaut"/>
    <w:link w:val="En-tte"/>
    <w:uiPriority w:val="99"/>
    <w:rsid w:val="001513DA"/>
    <w:rPr>
      <w:rFonts w:ascii="Times New Roman" w:eastAsia="Times New Roman" w:hAnsi="Times New Roman" w:cs="Times New Roman"/>
      <w:sz w:val="20"/>
      <w:szCs w:val="20"/>
      <w:lang w:eastAsia="fr-FR"/>
    </w:rPr>
  </w:style>
  <w:style w:type="paragraph" w:styleId="Textedebulles">
    <w:name w:val="Balloon Text"/>
    <w:basedOn w:val="Normal"/>
    <w:link w:val="TextedebullesCar"/>
    <w:uiPriority w:val="99"/>
    <w:semiHidden/>
    <w:unhideWhenUsed/>
    <w:rsid w:val="001513DA"/>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1513DA"/>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microsoft.com/office/2007/relationships/stylesWithEffects" Target="stylesWithEffect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585</Words>
  <Characters>3336</Characters>
  <Application>Microsoft Office Word</Application>
  <DocSecurity>0</DocSecurity>
  <Lines>27</Lines>
  <Paragraphs>7</Paragraphs>
  <ScaleCrop>false</ScaleCrop>
  <Company/>
  <LinksUpToDate>false</LinksUpToDate>
  <CharactersWithSpaces>3914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HP_Yettou</dc:creator>
  <cp:lastModifiedBy>traitement</cp:lastModifiedBy>
  <cp:revision>3</cp:revision>
  <dcterms:created xsi:type="dcterms:W3CDTF">2016-11-21T10:56:00Z</dcterms:created>
  <dcterms:modified xsi:type="dcterms:W3CDTF">2016-11-21T10:56:00Z</dcterms:modified>
</cp:coreProperties>
</file>