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71F" w:rsidRPr="00C6371F" w:rsidRDefault="00C6371F" w:rsidP="00C6371F">
      <w:pPr>
        <w:rPr>
          <w:rFonts w:ascii="TTdcti10" w:hAnsi="TTdcti10" w:cs="TTdcti10"/>
          <w:color w:val="000000"/>
          <w:sz w:val="32"/>
          <w:szCs w:val="32"/>
        </w:rPr>
      </w:pPr>
      <w:r w:rsidRPr="00C6371F">
        <w:rPr>
          <w:rFonts w:ascii="TTdcti10" w:hAnsi="TTdcti10" w:cs="TTdcti10"/>
          <w:color w:val="000000"/>
          <w:sz w:val="32"/>
          <w:szCs w:val="32"/>
        </w:rPr>
        <w:t xml:space="preserve">         Parmi les composés où intervient le transfert de proton et de groupement méthyle, nous signalons les </w:t>
      </w:r>
      <w:proofErr w:type="spellStart"/>
      <w:r w:rsidRPr="00C6371F">
        <w:rPr>
          <w:rFonts w:ascii="TTdcti10" w:hAnsi="TTdcti10" w:cs="TTdcti10"/>
          <w:color w:val="000000"/>
          <w:sz w:val="32"/>
          <w:szCs w:val="32"/>
        </w:rPr>
        <w:t>imidates</w:t>
      </w:r>
      <w:proofErr w:type="spellEnd"/>
      <w:r w:rsidRPr="00C6371F">
        <w:rPr>
          <w:rFonts w:ascii="TTdcti10" w:hAnsi="TTdcti10" w:cs="TTdcti10"/>
          <w:color w:val="000000"/>
          <w:sz w:val="32"/>
          <w:szCs w:val="32"/>
        </w:rPr>
        <w:t xml:space="preserve"> N-acylés ou </w:t>
      </w:r>
      <w:proofErr w:type="spellStart"/>
      <w:r w:rsidRPr="00C6371F">
        <w:rPr>
          <w:rFonts w:ascii="TTdcti10" w:hAnsi="TTdcti10" w:cs="TTdcti10"/>
          <w:color w:val="000000"/>
          <w:sz w:val="32"/>
          <w:szCs w:val="32"/>
        </w:rPr>
        <w:t>imino</w:t>
      </w:r>
      <w:proofErr w:type="spellEnd"/>
      <w:r w:rsidRPr="00C6371F">
        <w:rPr>
          <w:rFonts w:ascii="TTdcti10" w:hAnsi="TTdcti10" w:cs="TTdcti10"/>
          <w:color w:val="000000"/>
          <w:sz w:val="32"/>
          <w:szCs w:val="32"/>
        </w:rPr>
        <w:t>-esters N-acylés qui présentent un large domaine d'application dans la préparation de nombreux composés hétérocycliques qui sont à la base de la synthèse de produits d'intérêt pharmaceutiques et agrochimiques.</w:t>
      </w:r>
    </w:p>
    <w:p w:rsidR="00C6371F" w:rsidRPr="00C6371F" w:rsidRDefault="00C6371F" w:rsidP="00C6371F">
      <w:pPr>
        <w:rPr>
          <w:rFonts w:ascii="TTdcti10" w:hAnsi="TTdcti10" w:cs="TTdcti10"/>
          <w:color w:val="000000"/>
          <w:sz w:val="32"/>
          <w:szCs w:val="32"/>
        </w:rPr>
      </w:pPr>
      <w:r w:rsidRPr="00C6371F">
        <w:rPr>
          <w:rFonts w:ascii="TTdcti10" w:hAnsi="TTdcti10" w:cs="TTdcti10"/>
          <w:color w:val="000000"/>
          <w:sz w:val="32"/>
          <w:szCs w:val="32"/>
        </w:rPr>
        <w:t xml:space="preserve">                 Dans la première partie de cette thèse, nous avons étudié la tautomérie (transfert de proton) du N-</w:t>
      </w:r>
      <w:proofErr w:type="spellStart"/>
      <w:r w:rsidRPr="00C6371F">
        <w:rPr>
          <w:rFonts w:ascii="TTdcti10" w:hAnsi="TTdcti10" w:cs="TTdcti10"/>
          <w:color w:val="000000"/>
          <w:sz w:val="32"/>
          <w:szCs w:val="32"/>
        </w:rPr>
        <w:t>Hydroxy</w:t>
      </w:r>
      <w:proofErr w:type="spellEnd"/>
      <w:r w:rsidRPr="00C6371F">
        <w:rPr>
          <w:rFonts w:ascii="TTdcti10" w:hAnsi="TTdcti10" w:cs="TTdcti10"/>
          <w:color w:val="000000"/>
          <w:sz w:val="32"/>
          <w:szCs w:val="32"/>
        </w:rPr>
        <w:t xml:space="preserve"> Méthylène </w:t>
      </w:r>
      <w:proofErr w:type="spellStart"/>
      <w:r w:rsidRPr="00C6371F">
        <w:rPr>
          <w:rFonts w:ascii="TTdcti10" w:hAnsi="TTdcti10" w:cs="TTdcti10"/>
          <w:color w:val="000000"/>
          <w:sz w:val="32"/>
          <w:szCs w:val="32"/>
        </w:rPr>
        <w:t>Formamide</w:t>
      </w:r>
      <w:proofErr w:type="spellEnd"/>
      <w:r w:rsidRPr="00C6371F">
        <w:rPr>
          <w:rFonts w:ascii="TTdcti10" w:hAnsi="TTdcti10" w:cs="TTdcti10"/>
          <w:color w:val="000000"/>
          <w:sz w:val="32"/>
          <w:szCs w:val="32"/>
        </w:rPr>
        <w:t xml:space="preserve"> (NHMF) dans le cas non-assisté, assisté par une molécule d'eau, assisté par deux molécules d'eau et auto-assisté (dimère du NHMF), pour savoir si ce dernier pourrait être considéré comme une entité chimique capable de réagir sans passer par sa forme tautomère. L'optimisation des structures géométriques des minima locaux et des états de transition  ont été faites au niveau ab-</w:t>
      </w:r>
      <w:proofErr w:type="spellStart"/>
      <w:r w:rsidRPr="00C6371F">
        <w:rPr>
          <w:rFonts w:ascii="TTdcti10" w:hAnsi="TTdcti10" w:cs="TTdcti10"/>
          <w:color w:val="000000"/>
          <w:sz w:val="32"/>
          <w:szCs w:val="32"/>
        </w:rPr>
        <w:t>initio</w:t>
      </w:r>
      <w:proofErr w:type="spellEnd"/>
      <w:r w:rsidRPr="00C6371F">
        <w:rPr>
          <w:rFonts w:ascii="TTdcti10" w:hAnsi="TTdcti10" w:cs="TTdcti10"/>
          <w:color w:val="000000"/>
          <w:sz w:val="32"/>
          <w:szCs w:val="32"/>
        </w:rPr>
        <w:t xml:space="preserve">, HF, Post-HF (théorie de perturbation du second ordre de </w:t>
      </w:r>
      <w:proofErr w:type="spellStart"/>
      <w:r w:rsidRPr="00C6371F">
        <w:rPr>
          <w:rFonts w:ascii="TTdcti10" w:hAnsi="TTdcti10" w:cs="TTdcti10"/>
          <w:color w:val="000000"/>
          <w:sz w:val="32"/>
          <w:szCs w:val="32"/>
        </w:rPr>
        <w:t>M</w:t>
      </w:r>
      <w:proofErr w:type="gramStart"/>
      <w:r w:rsidRPr="00C6371F">
        <w:rPr>
          <w:rFonts w:ascii="TTdcti10" w:hAnsi="TTdcti10" w:cs="TTdcti10"/>
          <w:color w:val="000000"/>
          <w:sz w:val="32"/>
          <w:szCs w:val="32"/>
        </w:rPr>
        <w:t>?ller</w:t>
      </w:r>
      <w:proofErr w:type="spellEnd"/>
      <w:proofErr w:type="gramEnd"/>
      <w:r w:rsidRPr="00C6371F">
        <w:rPr>
          <w:rFonts w:ascii="TTdcti10" w:hAnsi="TTdcti10" w:cs="TTdcti10"/>
          <w:color w:val="000000"/>
          <w:sz w:val="32"/>
          <w:szCs w:val="32"/>
        </w:rPr>
        <w:t xml:space="preserve"> </w:t>
      </w:r>
      <w:proofErr w:type="spellStart"/>
      <w:r w:rsidRPr="00C6371F">
        <w:rPr>
          <w:rFonts w:ascii="TTdcti10" w:hAnsi="TTdcti10" w:cs="TTdcti10"/>
          <w:color w:val="000000"/>
          <w:sz w:val="32"/>
          <w:szCs w:val="32"/>
        </w:rPr>
        <w:t>Plesset</w:t>
      </w:r>
      <w:proofErr w:type="spellEnd"/>
      <w:r w:rsidRPr="00C6371F">
        <w:rPr>
          <w:rFonts w:ascii="TTdcti10" w:hAnsi="TTdcti10" w:cs="TTdcti10"/>
          <w:color w:val="000000"/>
          <w:sz w:val="32"/>
          <w:szCs w:val="32"/>
        </w:rPr>
        <w:t xml:space="preserve"> MP2) et  le niveau de la théorie fonctionnelle de la densité DFT/B3LYP en utilisant les bases 6-31G* et 6-311G*. </w:t>
      </w:r>
    </w:p>
    <w:p w:rsidR="00C6371F" w:rsidRPr="00C6371F" w:rsidRDefault="00C6371F" w:rsidP="00C6371F">
      <w:pPr>
        <w:rPr>
          <w:rFonts w:ascii="TTdcti10" w:hAnsi="TTdcti10" w:cs="TTdcti10"/>
          <w:color w:val="000000"/>
          <w:sz w:val="32"/>
          <w:szCs w:val="32"/>
        </w:rPr>
      </w:pPr>
      <w:r w:rsidRPr="00C6371F">
        <w:rPr>
          <w:rFonts w:ascii="TTdcti10" w:hAnsi="TTdcti10" w:cs="TTdcti10"/>
          <w:color w:val="000000"/>
          <w:sz w:val="32"/>
          <w:szCs w:val="32"/>
        </w:rPr>
        <w:t>Dans la deuxième partie, nous avons jugé utile de poursuivre le travail qui a été initié par M. BRAHIMI dans sa thèse de doctorat d'état où il est démontré l'implication du transfert de proton (TP) dans l'assistance des transferts d'électron à courte et longues distances. Nous avons donc étudié le TP dans l'assistance des transferts de groupements alkyles en particulier des groupements méthyles qui se produit dans des processus chimiques lors de la régénération de l'ADN.</w:t>
      </w:r>
    </w:p>
    <w:p w:rsidR="00C6371F" w:rsidRPr="00C6371F" w:rsidRDefault="00C6371F" w:rsidP="00C6371F">
      <w:pPr>
        <w:rPr>
          <w:rFonts w:ascii="TTdcti10" w:hAnsi="TTdcti10" w:cs="TTdcti10"/>
          <w:color w:val="000000"/>
          <w:sz w:val="32"/>
          <w:szCs w:val="32"/>
        </w:rPr>
      </w:pPr>
    </w:p>
    <w:p w:rsidR="00C3746D" w:rsidRPr="00C6371F" w:rsidRDefault="00C6371F" w:rsidP="00C6371F">
      <w:pPr>
        <w:rPr>
          <w:rFonts w:eastAsiaTheme="minorHAnsi"/>
          <w:szCs w:val="32"/>
        </w:rPr>
      </w:pPr>
      <w:r w:rsidRPr="00C6371F">
        <w:rPr>
          <w:rFonts w:ascii="TTdcti10" w:hAnsi="TTdcti10" w:cs="TTdcti10"/>
          <w:color w:val="000000"/>
          <w:sz w:val="32"/>
          <w:szCs w:val="32"/>
        </w:rPr>
        <w:t xml:space="preserve">  Les résultats obtenus sont interprétés et comparés aux données expérimentales et théoriques disponibles.</w:t>
      </w:r>
    </w:p>
    <w:sectPr w:rsidR="00C3746D" w:rsidRPr="00C6371F" w:rsidSect="00B47601">
      <w:pgSz w:w="11906" w:h="16838"/>
      <w:pgMar w:top="1440" w:right="1080" w:bottom="1440" w:left="108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Tdcti10">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drawingGridHorizontalSpacing w:val="100"/>
  <w:displayHorizontalDrawingGridEvery w:val="2"/>
  <w:characterSpacingControl w:val="doNotCompress"/>
  <w:compat/>
  <w:rsids>
    <w:rsidRoot w:val="006A108A"/>
    <w:rsid w:val="00047738"/>
    <w:rsid w:val="001175AD"/>
    <w:rsid w:val="00136D3E"/>
    <w:rsid w:val="00141723"/>
    <w:rsid w:val="00141D8D"/>
    <w:rsid w:val="00146C28"/>
    <w:rsid w:val="00155263"/>
    <w:rsid w:val="00184147"/>
    <w:rsid w:val="001F37CB"/>
    <w:rsid w:val="0020427A"/>
    <w:rsid w:val="0020452A"/>
    <w:rsid w:val="00222C21"/>
    <w:rsid w:val="00233C9A"/>
    <w:rsid w:val="00254E1D"/>
    <w:rsid w:val="00291B5E"/>
    <w:rsid w:val="0029386F"/>
    <w:rsid w:val="002A5D24"/>
    <w:rsid w:val="002A6604"/>
    <w:rsid w:val="00314098"/>
    <w:rsid w:val="00337EAA"/>
    <w:rsid w:val="00351310"/>
    <w:rsid w:val="003743D1"/>
    <w:rsid w:val="003824CB"/>
    <w:rsid w:val="003841A2"/>
    <w:rsid w:val="00394A9D"/>
    <w:rsid w:val="00396796"/>
    <w:rsid w:val="003A4565"/>
    <w:rsid w:val="003F5A27"/>
    <w:rsid w:val="00442FB2"/>
    <w:rsid w:val="00494964"/>
    <w:rsid w:val="004C50CA"/>
    <w:rsid w:val="004E21CC"/>
    <w:rsid w:val="00504B85"/>
    <w:rsid w:val="005427FB"/>
    <w:rsid w:val="00563B56"/>
    <w:rsid w:val="005B13D3"/>
    <w:rsid w:val="005C6120"/>
    <w:rsid w:val="005D7EED"/>
    <w:rsid w:val="005F47AF"/>
    <w:rsid w:val="006261B7"/>
    <w:rsid w:val="00632CD1"/>
    <w:rsid w:val="00635CD6"/>
    <w:rsid w:val="00642621"/>
    <w:rsid w:val="00675FE6"/>
    <w:rsid w:val="00693D84"/>
    <w:rsid w:val="006A108A"/>
    <w:rsid w:val="006A39AD"/>
    <w:rsid w:val="006F5BAA"/>
    <w:rsid w:val="0070428A"/>
    <w:rsid w:val="00730B08"/>
    <w:rsid w:val="00767031"/>
    <w:rsid w:val="00787FFD"/>
    <w:rsid w:val="00793BD2"/>
    <w:rsid w:val="007F5613"/>
    <w:rsid w:val="00805DEF"/>
    <w:rsid w:val="00842D2E"/>
    <w:rsid w:val="0085156A"/>
    <w:rsid w:val="00884DD1"/>
    <w:rsid w:val="008D5A26"/>
    <w:rsid w:val="00970AC3"/>
    <w:rsid w:val="009A18B5"/>
    <w:rsid w:val="009A4E61"/>
    <w:rsid w:val="009C5EDF"/>
    <w:rsid w:val="009E74DD"/>
    <w:rsid w:val="009F7DE9"/>
    <w:rsid w:val="00A33BCB"/>
    <w:rsid w:val="00A42F04"/>
    <w:rsid w:val="00A52405"/>
    <w:rsid w:val="00A66E4E"/>
    <w:rsid w:val="00A75938"/>
    <w:rsid w:val="00AC7F32"/>
    <w:rsid w:val="00B47601"/>
    <w:rsid w:val="00B70F84"/>
    <w:rsid w:val="00B71911"/>
    <w:rsid w:val="00B74D9E"/>
    <w:rsid w:val="00B87872"/>
    <w:rsid w:val="00BB73B1"/>
    <w:rsid w:val="00C13840"/>
    <w:rsid w:val="00C235B0"/>
    <w:rsid w:val="00C3746D"/>
    <w:rsid w:val="00C6371F"/>
    <w:rsid w:val="00C718D4"/>
    <w:rsid w:val="00C72487"/>
    <w:rsid w:val="00CC647B"/>
    <w:rsid w:val="00D80BF9"/>
    <w:rsid w:val="00D95522"/>
    <w:rsid w:val="00DB67EC"/>
    <w:rsid w:val="00DB6A24"/>
    <w:rsid w:val="00DF590C"/>
    <w:rsid w:val="00DF6566"/>
    <w:rsid w:val="00E07A43"/>
    <w:rsid w:val="00E15E32"/>
    <w:rsid w:val="00E23166"/>
    <w:rsid w:val="00E248DE"/>
    <w:rsid w:val="00E3302D"/>
    <w:rsid w:val="00E34C0C"/>
    <w:rsid w:val="00E463CE"/>
    <w:rsid w:val="00E63475"/>
    <w:rsid w:val="00E806D7"/>
    <w:rsid w:val="00EC1B06"/>
    <w:rsid w:val="00EC33B3"/>
    <w:rsid w:val="00ED23A1"/>
    <w:rsid w:val="00F11028"/>
    <w:rsid w:val="00F2493A"/>
    <w:rsid w:val="00F54764"/>
    <w:rsid w:val="00F73A84"/>
    <w:rsid w:val="00FB3CA3"/>
    <w:rsid w:val="00FC3E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738"/>
    <w:pPr>
      <w:spacing w:after="0" w:line="240" w:lineRule="auto"/>
    </w:pPr>
    <w:rPr>
      <w:rFonts w:ascii="Times New Roman" w:eastAsia="Times New Roman" w:hAnsi="Times New Roman" w:cs="Times New Roman"/>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047738"/>
    <w:pPr>
      <w:spacing w:line="360" w:lineRule="auto"/>
    </w:pPr>
    <w:rPr>
      <w:sz w:val="26"/>
      <w:szCs w:val="26"/>
    </w:rPr>
  </w:style>
  <w:style w:type="character" w:customStyle="1" w:styleId="CorpsdetexteCar">
    <w:name w:val="Corps de texte Car"/>
    <w:basedOn w:val="Policepardfaut"/>
    <w:link w:val="Corpsdetexte"/>
    <w:semiHidden/>
    <w:rsid w:val="00047738"/>
    <w:rPr>
      <w:rFonts w:ascii="Times New Roman" w:eastAsia="Times New Roman" w:hAnsi="Times New Roman" w:cs="Times New Roman"/>
      <w:sz w:val="26"/>
      <w:szCs w:val="26"/>
      <w:lang w:val="fr-FR" w:eastAsia="fr-FR"/>
    </w:rPr>
  </w:style>
  <w:style w:type="paragraph" w:styleId="Retraitcorpsdetexte3">
    <w:name w:val="Body Text Indent 3"/>
    <w:basedOn w:val="Normal"/>
    <w:link w:val="Retraitcorpsdetexte3Car"/>
    <w:uiPriority w:val="99"/>
    <w:semiHidden/>
    <w:unhideWhenUsed/>
    <w:rsid w:val="003841A2"/>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841A2"/>
    <w:rPr>
      <w:rFonts w:ascii="Times New Roman" w:eastAsia="Times New Roman" w:hAnsi="Times New Roman" w:cs="Times New Roman"/>
      <w:sz w:val="16"/>
      <w:szCs w:val="16"/>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1408</TotalTime>
  <Pages>1</Pages>
  <Words>245</Words>
  <Characters>1400</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98</cp:revision>
  <dcterms:created xsi:type="dcterms:W3CDTF">2015-01-07T09:27:00Z</dcterms:created>
  <dcterms:modified xsi:type="dcterms:W3CDTF">2015-03-09T13:51:00Z</dcterms:modified>
</cp:coreProperties>
</file>