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0EB1" w:rsidRDefault="00BE12AC" w:rsidP="004B02B9">
      <w:pPr>
        <w:spacing w:after="0"/>
        <w:jc w:val="center"/>
        <w:rPr>
          <w:rFonts w:ascii="Times New Roman" w:hAnsi="Times New Roman" w:cs="Times New Roman"/>
          <w:sz w:val="24"/>
          <w:szCs w:val="24"/>
        </w:rPr>
      </w:pPr>
      <w:r>
        <w:rPr>
          <w:rFonts w:ascii="Times New Roman" w:hAnsi="Times New Roman" w:cs="Times New Roman"/>
          <w:sz w:val="24"/>
          <w:szCs w:val="24"/>
        </w:rPr>
        <w:t xml:space="preserve">Thème : </w:t>
      </w:r>
      <w:r w:rsidR="00830EB1">
        <w:rPr>
          <w:rFonts w:ascii="Times New Roman" w:hAnsi="Times New Roman" w:cs="Times New Roman"/>
          <w:sz w:val="24"/>
          <w:szCs w:val="24"/>
        </w:rPr>
        <w:t xml:space="preserve">   Elimination  du chrome (VI) par électrocoagulation et adsorption </w:t>
      </w:r>
    </w:p>
    <w:p w:rsidR="00830EB1" w:rsidRDefault="00830EB1" w:rsidP="00830EB1">
      <w:pPr>
        <w:spacing w:after="0"/>
        <w:jc w:val="center"/>
      </w:pPr>
      <w:r>
        <w:rPr>
          <w:rFonts w:ascii="Times New Roman" w:hAnsi="Times New Roman" w:cs="Times New Roman"/>
          <w:sz w:val="24"/>
          <w:szCs w:val="24"/>
        </w:rPr>
        <w:t>Sur du charbon actif</w:t>
      </w:r>
    </w:p>
    <w:p w:rsidR="00BE12AC" w:rsidRDefault="00BE12AC" w:rsidP="00830EB1">
      <w:pPr>
        <w:autoSpaceDE w:val="0"/>
        <w:autoSpaceDN w:val="0"/>
        <w:adjustRightInd w:val="0"/>
        <w:spacing w:after="0" w:line="240" w:lineRule="auto"/>
        <w:rPr>
          <w:rFonts w:ascii="Times New Roman" w:hAnsi="Times New Roman" w:cs="Times New Roman"/>
          <w:sz w:val="24"/>
          <w:szCs w:val="24"/>
        </w:rPr>
      </w:pPr>
    </w:p>
    <w:p w:rsidR="00BE12AC" w:rsidRDefault="00BE12AC" w:rsidP="00BE12AC">
      <w:pPr>
        <w:autoSpaceDE w:val="0"/>
        <w:autoSpaceDN w:val="0"/>
        <w:adjustRightInd w:val="0"/>
        <w:spacing w:after="0" w:line="240" w:lineRule="auto"/>
        <w:rPr>
          <w:rFonts w:ascii="Times New Roman" w:hAnsi="Times New Roman" w:cs="Times New Roman"/>
          <w:sz w:val="24"/>
          <w:szCs w:val="24"/>
        </w:rPr>
      </w:pPr>
    </w:p>
    <w:p w:rsidR="00BE12AC" w:rsidRDefault="00BE12AC" w:rsidP="00BE12AC">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sz w:val="24"/>
          <w:szCs w:val="24"/>
        </w:rPr>
        <w:t xml:space="preserve">                                                  </w:t>
      </w:r>
      <w:r w:rsidR="00931CA1">
        <w:rPr>
          <w:rFonts w:ascii="Times New Roman" w:hAnsi="Times New Roman" w:cs="Times New Roman"/>
          <w:sz w:val="24"/>
          <w:szCs w:val="24"/>
        </w:rPr>
        <w:t xml:space="preserve">   </w:t>
      </w:r>
      <w:r>
        <w:rPr>
          <w:rFonts w:ascii="Times New Roman" w:hAnsi="Times New Roman" w:cs="Times New Roman"/>
          <w:sz w:val="24"/>
          <w:szCs w:val="24"/>
        </w:rPr>
        <w:t xml:space="preserve"> M </w:t>
      </w:r>
      <w:r w:rsidRPr="00BE12AC">
        <w:rPr>
          <w:rFonts w:ascii="Times New Roman" w:hAnsi="Times New Roman" w:cs="Times New Roman"/>
          <w:sz w:val="24"/>
          <w:szCs w:val="24"/>
          <w:vertAlign w:val="superscript"/>
        </w:rPr>
        <w:t>elle</w:t>
      </w:r>
      <w:r>
        <w:rPr>
          <w:rFonts w:ascii="Times New Roman" w:hAnsi="Times New Roman" w:cs="Times New Roman"/>
          <w:sz w:val="24"/>
          <w:szCs w:val="24"/>
        </w:rPr>
        <w:t xml:space="preserve">. </w:t>
      </w:r>
      <w:r w:rsidRPr="00BE12AC">
        <w:rPr>
          <w:rFonts w:ascii="Times New Roman" w:hAnsi="Times New Roman" w:cs="Times New Roman"/>
          <w:b/>
          <w:bCs/>
          <w:sz w:val="24"/>
          <w:szCs w:val="24"/>
        </w:rPr>
        <w:t>LEMDANI SAFIA</w:t>
      </w:r>
    </w:p>
    <w:p w:rsidR="00BE12AC" w:rsidRDefault="00BE12AC" w:rsidP="00BE12AC">
      <w:pPr>
        <w:autoSpaceDE w:val="0"/>
        <w:autoSpaceDN w:val="0"/>
        <w:adjustRightInd w:val="0"/>
        <w:spacing w:after="0" w:line="240" w:lineRule="auto"/>
        <w:rPr>
          <w:rFonts w:ascii="Times New Roman" w:hAnsi="Times New Roman" w:cs="Times New Roman"/>
          <w:b/>
          <w:bCs/>
          <w:sz w:val="24"/>
          <w:szCs w:val="24"/>
        </w:rPr>
      </w:pPr>
    </w:p>
    <w:p w:rsidR="00BE12AC" w:rsidRDefault="00BE12AC" w:rsidP="00BE12A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Spécialité génie des procédés industriels</w:t>
      </w:r>
    </w:p>
    <w:p w:rsidR="00BE12AC" w:rsidRDefault="00BE12AC" w:rsidP="00BE12AC">
      <w:pPr>
        <w:autoSpaceDE w:val="0"/>
        <w:autoSpaceDN w:val="0"/>
        <w:adjustRightInd w:val="0"/>
        <w:spacing w:after="0" w:line="240" w:lineRule="auto"/>
        <w:rPr>
          <w:rFonts w:ascii="Times New Roman" w:hAnsi="Times New Roman" w:cs="Times New Roman"/>
          <w:sz w:val="24"/>
          <w:szCs w:val="24"/>
        </w:rPr>
      </w:pPr>
    </w:p>
    <w:p w:rsidR="00B3708C" w:rsidRDefault="00BE12AC" w:rsidP="00BE12AC">
      <w:pPr>
        <w:rPr>
          <w:rFonts w:ascii="Times New Roman" w:hAnsi="Times New Roman" w:cs="Times New Roman"/>
          <w:sz w:val="24"/>
          <w:szCs w:val="24"/>
        </w:rPr>
      </w:pPr>
      <w:r>
        <w:rPr>
          <w:rFonts w:ascii="Times New Roman" w:hAnsi="Times New Roman" w:cs="Times New Roman"/>
          <w:sz w:val="24"/>
          <w:szCs w:val="24"/>
        </w:rPr>
        <w:t xml:space="preserve">                              </w:t>
      </w:r>
      <w:r w:rsidR="00232271">
        <w:rPr>
          <w:rFonts w:ascii="Times New Roman" w:hAnsi="Times New Roman" w:cs="Times New Roman"/>
          <w:sz w:val="24"/>
          <w:szCs w:val="24"/>
        </w:rPr>
        <w:t xml:space="preserve">   </w:t>
      </w:r>
      <w:r>
        <w:rPr>
          <w:rFonts w:ascii="Times New Roman" w:hAnsi="Times New Roman" w:cs="Times New Roman"/>
          <w:sz w:val="24"/>
          <w:szCs w:val="24"/>
        </w:rPr>
        <w:t>Directrice de Mémoire : Pr. AICHA  BENSMAILI</w:t>
      </w:r>
    </w:p>
    <w:p w:rsidR="00B739EA" w:rsidRDefault="00B739EA" w:rsidP="00BE12AC">
      <w:pPr>
        <w:rPr>
          <w:rFonts w:ascii="Times New Roman" w:hAnsi="Times New Roman" w:cs="Times New Roman"/>
          <w:b/>
          <w:bCs/>
          <w:i/>
          <w:iCs/>
          <w:sz w:val="24"/>
          <w:szCs w:val="24"/>
        </w:rPr>
      </w:pPr>
    </w:p>
    <w:p w:rsidR="00232271" w:rsidRDefault="00232271" w:rsidP="00BE12AC">
      <w:pPr>
        <w:rPr>
          <w:rFonts w:ascii="Times New Roman" w:hAnsi="Times New Roman" w:cs="Times New Roman"/>
          <w:b/>
          <w:bCs/>
          <w:i/>
          <w:iCs/>
          <w:sz w:val="24"/>
          <w:szCs w:val="24"/>
        </w:rPr>
      </w:pPr>
      <w:r>
        <w:rPr>
          <w:rFonts w:ascii="Times New Roman" w:hAnsi="Times New Roman" w:cs="Times New Roman"/>
          <w:b/>
          <w:bCs/>
          <w:i/>
          <w:iCs/>
          <w:sz w:val="24"/>
          <w:szCs w:val="24"/>
        </w:rPr>
        <w:t>Résumé :</w:t>
      </w:r>
    </w:p>
    <w:p w:rsidR="00F27DBD" w:rsidRDefault="001A45BD" w:rsidP="00F27DBD">
      <w:pPr>
        <w:spacing w:after="0"/>
        <w:jc w:val="both"/>
        <w:rPr>
          <w:rFonts w:asciiTheme="majorBidi" w:hAnsiTheme="majorBidi" w:cstheme="majorBidi"/>
          <w:sz w:val="24"/>
          <w:szCs w:val="24"/>
        </w:rPr>
      </w:pPr>
      <w:r>
        <w:rPr>
          <w:rFonts w:asciiTheme="majorBidi" w:hAnsiTheme="majorBidi" w:cstheme="majorBidi"/>
          <w:sz w:val="24"/>
          <w:szCs w:val="24"/>
        </w:rPr>
        <w:t xml:space="preserve">          </w:t>
      </w:r>
      <w:r w:rsidR="00F27DBD">
        <w:rPr>
          <w:rFonts w:asciiTheme="majorBidi" w:hAnsiTheme="majorBidi" w:cstheme="majorBidi"/>
          <w:sz w:val="24"/>
          <w:szCs w:val="24"/>
        </w:rPr>
        <w:t xml:space="preserve">L’objectif de ce travail est l’étude de l’application de différents procédés (électrocoagulation, adsorption) de traitement d’effluents en particulier ceux des tanneries pour l’élimination du chrome hexa valent.  </w:t>
      </w:r>
    </w:p>
    <w:p w:rsidR="00F27DBD" w:rsidRDefault="00F27DBD" w:rsidP="00D513AC">
      <w:pPr>
        <w:spacing w:after="0"/>
        <w:jc w:val="both"/>
        <w:rPr>
          <w:rFonts w:asciiTheme="majorBidi" w:hAnsiTheme="majorBidi" w:cstheme="majorBidi"/>
          <w:sz w:val="24"/>
          <w:szCs w:val="24"/>
        </w:rPr>
      </w:pPr>
      <w:r>
        <w:rPr>
          <w:rFonts w:asciiTheme="majorBidi" w:hAnsiTheme="majorBidi" w:cstheme="majorBidi"/>
          <w:sz w:val="24"/>
          <w:szCs w:val="24"/>
        </w:rPr>
        <w:t xml:space="preserve">            L’électrocoagulation est basée sur la dissolution d’anode sacrificielle de fer et d’aluminium. Le réacteur que nous avons utilisé est constitué de deux électrodes métalliques. Le traitement le plus appropriée est une anode de fer et une cathode d’aluminium (Fe/Al). Le rendement est de 99% et obtenue après </w:t>
      </w:r>
      <w:r w:rsidR="00D513AC">
        <w:rPr>
          <w:rFonts w:asciiTheme="majorBidi" w:hAnsiTheme="majorBidi" w:cstheme="majorBidi"/>
          <w:sz w:val="24"/>
          <w:szCs w:val="24"/>
        </w:rPr>
        <w:t xml:space="preserve">20 </w:t>
      </w:r>
      <w:r>
        <w:rPr>
          <w:rFonts w:asciiTheme="majorBidi" w:hAnsiTheme="majorBidi" w:cstheme="majorBidi"/>
          <w:sz w:val="24"/>
          <w:szCs w:val="24"/>
        </w:rPr>
        <w:t>min pour une densité de courant de 75A/m</w:t>
      </w:r>
      <w:r w:rsidRPr="00F676D2">
        <w:rPr>
          <w:rFonts w:asciiTheme="majorBidi" w:hAnsiTheme="majorBidi" w:cstheme="majorBidi"/>
          <w:sz w:val="24"/>
          <w:szCs w:val="24"/>
          <w:vertAlign w:val="superscript"/>
        </w:rPr>
        <w:t>2</w:t>
      </w:r>
      <w:r>
        <w:rPr>
          <w:rFonts w:asciiTheme="majorBidi" w:hAnsiTheme="majorBidi" w:cstheme="majorBidi"/>
          <w:sz w:val="24"/>
          <w:szCs w:val="24"/>
        </w:rPr>
        <w:t xml:space="preserve"> et une consommation d’énergie de 0,17kwh/m</w:t>
      </w:r>
      <w:r w:rsidRPr="00F676D2">
        <w:rPr>
          <w:rFonts w:asciiTheme="majorBidi" w:hAnsiTheme="majorBidi" w:cstheme="majorBidi"/>
          <w:sz w:val="24"/>
          <w:szCs w:val="24"/>
          <w:vertAlign w:val="superscript"/>
        </w:rPr>
        <w:t>3</w:t>
      </w:r>
      <w:r>
        <w:rPr>
          <w:rFonts w:asciiTheme="majorBidi" w:hAnsiTheme="majorBidi" w:cstheme="majorBidi"/>
          <w:sz w:val="24"/>
          <w:szCs w:val="24"/>
        </w:rPr>
        <w:t xml:space="preserve">. </w:t>
      </w:r>
    </w:p>
    <w:p w:rsidR="00F27DBD" w:rsidRDefault="00F27DBD" w:rsidP="00D513AC">
      <w:pPr>
        <w:spacing w:after="0"/>
        <w:jc w:val="both"/>
        <w:rPr>
          <w:rFonts w:asciiTheme="majorBidi" w:hAnsiTheme="majorBidi" w:cstheme="majorBidi"/>
          <w:sz w:val="24"/>
          <w:szCs w:val="24"/>
        </w:rPr>
      </w:pPr>
      <w:r>
        <w:rPr>
          <w:rFonts w:asciiTheme="majorBidi" w:hAnsiTheme="majorBidi" w:cstheme="majorBidi"/>
          <w:sz w:val="24"/>
          <w:szCs w:val="24"/>
        </w:rPr>
        <w:t xml:space="preserve">             L’adsorption sur charbon actif d’une biomasse                      . A cet effet une étude paramétrique à été effectuée pour examiner l’influence de certain paramètres sur le rendement. Ce dernier est de 91% atteint dans les conditions suivantes : concentration en métal = 100mg/l, pH = 2, masse de l’adsorbant m=2g. </w:t>
      </w:r>
    </w:p>
    <w:p w:rsidR="00F27DBD" w:rsidRDefault="00F27DBD" w:rsidP="00F27DBD">
      <w:pPr>
        <w:spacing w:after="0"/>
        <w:jc w:val="both"/>
        <w:rPr>
          <w:rFonts w:asciiTheme="majorBidi" w:hAnsiTheme="majorBidi" w:cstheme="majorBidi"/>
          <w:sz w:val="24"/>
          <w:szCs w:val="24"/>
        </w:rPr>
      </w:pPr>
      <w:r>
        <w:rPr>
          <w:rFonts w:asciiTheme="majorBidi" w:hAnsiTheme="majorBidi" w:cstheme="majorBidi"/>
          <w:sz w:val="24"/>
          <w:szCs w:val="24"/>
        </w:rPr>
        <w:t>Par ailleurs, l’étude cinétique montre que l’équilibre est atteint au bout 1heure de contact. L’isotherme d’adsorption du chrome VI est décrite par le modèle de Langmuir. La détermination des paramètres thermodynamiques à permis de conclure que le processus est spontané (</w:t>
      </w:r>
      <w:r w:rsidRPr="00673E47">
        <w:rPr>
          <w:rFonts w:asciiTheme="majorBidi" w:hAnsiTheme="majorBidi" w:cstheme="majorBidi"/>
          <w:sz w:val="24"/>
          <w:szCs w:val="24"/>
        </w:rPr>
        <w:t>ΔG°</w:t>
      </w:r>
      <w:r>
        <w:rPr>
          <w:rFonts w:asciiTheme="majorBidi" w:hAnsiTheme="majorBidi" w:cstheme="majorBidi"/>
          <w:sz w:val="24"/>
          <w:szCs w:val="24"/>
        </w:rPr>
        <w:t xml:space="preserve"> &lt; 0) et endothermique (</w:t>
      </w:r>
      <w:r w:rsidRPr="00673E47">
        <w:rPr>
          <w:rFonts w:asciiTheme="majorBidi" w:hAnsiTheme="majorBidi" w:cstheme="majorBidi"/>
          <w:sz w:val="24"/>
          <w:szCs w:val="24"/>
        </w:rPr>
        <w:t>ΔH°</w:t>
      </w:r>
      <w:r>
        <w:rPr>
          <w:rFonts w:asciiTheme="majorBidi" w:hAnsiTheme="majorBidi" w:cstheme="majorBidi"/>
          <w:sz w:val="24"/>
          <w:szCs w:val="24"/>
        </w:rPr>
        <w:t xml:space="preserve"> &gt; 0). La cinétique d’adsorption du Cr </w:t>
      </w:r>
      <w:r w:rsidR="00673E47">
        <w:rPr>
          <w:rFonts w:asciiTheme="majorBidi" w:hAnsiTheme="majorBidi" w:cstheme="majorBidi"/>
          <w:sz w:val="24"/>
          <w:szCs w:val="24"/>
        </w:rPr>
        <w:t>(</w:t>
      </w:r>
      <w:r>
        <w:rPr>
          <w:rFonts w:asciiTheme="majorBidi" w:hAnsiTheme="majorBidi" w:cstheme="majorBidi"/>
          <w:sz w:val="24"/>
          <w:szCs w:val="24"/>
        </w:rPr>
        <w:t>VI</w:t>
      </w:r>
      <w:r w:rsidR="00673E47">
        <w:rPr>
          <w:rFonts w:asciiTheme="majorBidi" w:hAnsiTheme="majorBidi" w:cstheme="majorBidi"/>
          <w:sz w:val="24"/>
          <w:szCs w:val="24"/>
        </w:rPr>
        <w:t xml:space="preserve">) </w:t>
      </w:r>
      <w:r>
        <w:rPr>
          <w:rFonts w:asciiTheme="majorBidi" w:hAnsiTheme="majorBidi" w:cstheme="majorBidi"/>
          <w:sz w:val="24"/>
          <w:szCs w:val="24"/>
        </w:rPr>
        <w:t xml:space="preserve"> est du second ordre. </w:t>
      </w:r>
    </w:p>
    <w:p w:rsidR="00F27DBD" w:rsidRDefault="00F27DBD" w:rsidP="00F27DBD">
      <w:pPr>
        <w:spacing w:after="0"/>
        <w:jc w:val="both"/>
        <w:rPr>
          <w:rFonts w:asciiTheme="majorBidi" w:hAnsiTheme="majorBidi" w:cstheme="majorBidi"/>
          <w:sz w:val="24"/>
          <w:szCs w:val="24"/>
        </w:rPr>
      </w:pPr>
      <w:r>
        <w:rPr>
          <w:rFonts w:asciiTheme="majorBidi" w:hAnsiTheme="majorBidi" w:cstheme="majorBidi"/>
          <w:sz w:val="24"/>
          <w:szCs w:val="24"/>
        </w:rPr>
        <w:t xml:space="preserve">             Enfin  la méthode des plan</w:t>
      </w:r>
      <w:r w:rsidR="00D513AC">
        <w:rPr>
          <w:rFonts w:asciiTheme="majorBidi" w:hAnsiTheme="majorBidi" w:cstheme="majorBidi"/>
          <w:sz w:val="24"/>
          <w:szCs w:val="24"/>
        </w:rPr>
        <w:t>s</w:t>
      </w:r>
      <w:r>
        <w:rPr>
          <w:rFonts w:asciiTheme="majorBidi" w:hAnsiTheme="majorBidi" w:cstheme="majorBidi"/>
          <w:sz w:val="24"/>
          <w:szCs w:val="24"/>
        </w:rPr>
        <w:t xml:space="preserve"> d’expériences a permis d’établir un modèle mathématique qui exprime le rendement d’élimination du polluant métallique en fonction des facteurs influents. Le modèle établie est parfaitement valide dans le domaine d’étude.</w:t>
      </w:r>
    </w:p>
    <w:p w:rsidR="00F27DBD" w:rsidRDefault="00F27DBD" w:rsidP="00F27DBD">
      <w:pPr>
        <w:spacing w:after="0"/>
        <w:jc w:val="both"/>
        <w:rPr>
          <w:rFonts w:asciiTheme="majorBidi" w:hAnsiTheme="majorBidi" w:cstheme="majorBidi"/>
          <w:sz w:val="24"/>
          <w:szCs w:val="24"/>
        </w:rPr>
      </w:pPr>
    </w:p>
    <w:p w:rsidR="00F27DBD" w:rsidRDefault="00F27DBD" w:rsidP="00F27DBD">
      <w:pPr>
        <w:spacing w:after="0"/>
        <w:jc w:val="both"/>
        <w:rPr>
          <w:rFonts w:asciiTheme="majorBidi" w:hAnsiTheme="majorBidi" w:cstheme="majorBidi"/>
          <w:sz w:val="24"/>
          <w:szCs w:val="24"/>
        </w:rPr>
      </w:pPr>
      <w:r>
        <w:rPr>
          <w:rFonts w:asciiTheme="majorBidi" w:hAnsiTheme="majorBidi" w:cstheme="majorBidi"/>
          <w:sz w:val="24"/>
          <w:szCs w:val="24"/>
        </w:rPr>
        <w:t xml:space="preserve"> </w:t>
      </w:r>
    </w:p>
    <w:p w:rsidR="00F74245" w:rsidRPr="007473EB" w:rsidRDefault="00F74245" w:rsidP="00F74245">
      <w:pPr>
        <w:jc w:val="both"/>
        <w:rPr>
          <w:rFonts w:asciiTheme="majorBidi" w:hAnsiTheme="majorBidi" w:cstheme="majorBidi"/>
          <w:sz w:val="24"/>
          <w:szCs w:val="24"/>
        </w:rPr>
      </w:pPr>
      <w:r w:rsidRPr="00B766D2">
        <w:rPr>
          <w:rFonts w:asciiTheme="majorBidi" w:hAnsiTheme="majorBidi" w:cstheme="majorBidi"/>
          <w:b/>
          <w:bCs/>
          <w:sz w:val="24"/>
          <w:szCs w:val="24"/>
        </w:rPr>
        <w:t xml:space="preserve">  Mots clé</w:t>
      </w:r>
      <w:r>
        <w:rPr>
          <w:rFonts w:asciiTheme="majorBidi" w:hAnsiTheme="majorBidi" w:cstheme="majorBidi"/>
          <w:b/>
          <w:bCs/>
          <w:sz w:val="24"/>
          <w:szCs w:val="24"/>
        </w:rPr>
        <w:t>s</w:t>
      </w:r>
      <w:r w:rsidRPr="00B766D2">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Pr="00102707">
        <w:rPr>
          <w:rFonts w:asciiTheme="majorBidi" w:hAnsiTheme="majorBidi" w:cstheme="majorBidi"/>
          <w:sz w:val="24"/>
          <w:szCs w:val="24"/>
        </w:rPr>
        <w:t>Ele</w:t>
      </w:r>
      <w:r>
        <w:rPr>
          <w:rFonts w:asciiTheme="majorBidi" w:hAnsiTheme="majorBidi" w:cstheme="majorBidi"/>
          <w:sz w:val="24"/>
          <w:szCs w:val="24"/>
        </w:rPr>
        <w:t xml:space="preserve">ctrocoagulation, Aluminium, Fer, chrome VI, adsorption,  charbon actif (CAP), métaux lourds, eaux usées, plan d’expérience.    </w:t>
      </w:r>
    </w:p>
    <w:p w:rsidR="00F74245" w:rsidRPr="00B766D2" w:rsidRDefault="00F74245" w:rsidP="00F74245">
      <w:pPr>
        <w:jc w:val="both"/>
        <w:rPr>
          <w:rFonts w:asciiTheme="majorBidi" w:hAnsiTheme="majorBidi" w:cstheme="majorBidi"/>
          <w:b/>
          <w:bCs/>
          <w:sz w:val="24"/>
          <w:szCs w:val="24"/>
        </w:rPr>
      </w:pPr>
      <w:r w:rsidRPr="00B766D2">
        <w:rPr>
          <w:rFonts w:asciiTheme="majorBidi" w:hAnsiTheme="majorBidi" w:cstheme="majorBidi"/>
          <w:b/>
          <w:bCs/>
          <w:sz w:val="24"/>
          <w:szCs w:val="24"/>
        </w:rPr>
        <w:t xml:space="preserve"> </w:t>
      </w:r>
    </w:p>
    <w:p w:rsidR="001A45BD" w:rsidRDefault="001A45BD" w:rsidP="00F27DBD">
      <w:pPr>
        <w:spacing w:after="0" w:line="240" w:lineRule="auto"/>
        <w:jc w:val="both"/>
        <w:rPr>
          <w:rFonts w:asciiTheme="majorBidi" w:hAnsiTheme="majorBidi" w:cstheme="majorBidi"/>
          <w:sz w:val="24"/>
          <w:szCs w:val="24"/>
        </w:rPr>
      </w:pPr>
    </w:p>
    <w:p w:rsidR="001A45BD" w:rsidRDefault="001A45BD" w:rsidP="001A45BD">
      <w:pPr>
        <w:jc w:val="both"/>
        <w:rPr>
          <w:rFonts w:asciiTheme="majorBidi" w:hAnsiTheme="majorBidi" w:cstheme="majorBidi"/>
          <w:sz w:val="24"/>
          <w:szCs w:val="24"/>
        </w:rPr>
      </w:pPr>
      <w:r>
        <w:rPr>
          <w:rFonts w:asciiTheme="majorBidi" w:hAnsiTheme="majorBidi" w:cstheme="majorBidi"/>
          <w:sz w:val="24"/>
          <w:szCs w:val="24"/>
        </w:rPr>
        <w:t xml:space="preserve">       </w:t>
      </w:r>
    </w:p>
    <w:p w:rsidR="00830EB1" w:rsidRDefault="00830EB1" w:rsidP="00BE12AC">
      <w:pPr>
        <w:rPr>
          <w:rFonts w:ascii="Times New Roman" w:hAnsi="Times New Roman" w:cs="Times New Roman"/>
          <w:b/>
          <w:bCs/>
          <w:i/>
          <w:iCs/>
          <w:sz w:val="24"/>
          <w:szCs w:val="24"/>
        </w:rPr>
      </w:pPr>
    </w:p>
    <w:p w:rsidR="00830EB1" w:rsidRPr="00830EB1" w:rsidRDefault="00830EB1" w:rsidP="00BE12AC"/>
    <w:sectPr w:rsidR="00830EB1" w:rsidRPr="00830EB1" w:rsidSect="00830EB1">
      <w:pgSz w:w="11906" w:h="16838"/>
      <w:pgMar w:top="1417" w:right="1417" w:bottom="1417" w:left="1417"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compat>
    <w:useFELayout/>
  </w:compat>
  <w:rsids>
    <w:rsidRoot w:val="00BE12AC"/>
    <w:rsid w:val="00144FF0"/>
    <w:rsid w:val="001A45BD"/>
    <w:rsid w:val="00232271"/>
    <w:rsid w:val="0027566B"/>
    <w:rsid w:val="004B02B9"/>
    <w:rsid w:val="004C0B68"/>
    <w:rsid w:val="005D3F45"/>
    <w:rsid w:val="00673E47"/>
    <w:rsid w:val="007F3371"/>
    <w:rsid w:val="00830EB1"/>
    <w:rsid w:val="00841BC4"/>
    <w:rsid w:val="00931CA1"/>
    <w:rsid w:val="00996D95"/>
    <w:rsid w:val="00A90A2A"/>
    <w:rsid w:val="00B3708C"/>
    <w:rsid w:val="00B739EA"/>
    <w:rsid w:val="00BA15F0"/>
    <w:rsid w:val="00BE12AC"/>
    <w:rsid w:val="00D513AC"/>
    <w:rsid w:val="00D828EF"/>
    <w:rsid w:val="00F27DBD"/>
    <w:rsid w:val="00F74245"/>
    <w:rsid w:val="00F7645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708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Pages>
  <Words>324</Words>
  <Characters>1785</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safia</dc:creator>
  <cp:keywords/>
  <dc:description/>
  <cp:lastModifiedBy>safia</cp:lastModifiedBy>
  <cp:revision>22</cp:revision>
  <dcterms:created xsi:type="dcterms:W3CDTF">2014-09-01T22:06:00Z</dcterms:created>
  <dcterms:modified xsi:type="dcterms:W3CDTF">2014-10-27T04:39:00Z</dcterms:modified>
</cp:coreProperties>
</file>