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32D" w:rsidRPr="001B628C" w:rsidRDefault="0002132D" w:rsidP="0002132D">
      <w:pPr>
        <w:pStyle w:val="Corpsdetexte"/>
        <w:rPr>
          <w:sz w:val="24"/>
          <w:szCs w:val="24"/>
        </w:rPr>
      </w:pPr>
      <w:r w:rsidRPr="001B628C">
        <w:rPr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90170</wp:posOffset>
            </wp:positionH>
            <wp:positionV relativeFrom="page">
              <wp:posOffset>457200</wp:posOffset>
            </wp:positionV>
            <wp:extent cx="755650" cy="742950"/>
            <wp:effectExtent l="19050" t="0" r="6350" b="0"/>
            <wp:wrapSquare wrapText="bothSides"/>
            <wp:docPr id="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628C">
        <w:rPr>
          <w:sz w:val="24"/>
          <w:szCs w:val="24"/>
        </w:rPr>
        <w:t>université des sciences et de la technologie houari boumEdiene</w:t>
      </w:r>
    </w:p>
    <w:p w:rsidR="0002132D" w:rsidRPr="001B628C" w:rsidRDefault="0002132D" w:rsidP="0002132D">
      <w:pPr>
        <w:jc w:val="center"/>
        <w:rPr>
          <w:b/>
          <w:i/>
          <w:iCs/>
          <w:caps/>
        </w:rPr>
      </w:pPr>
      <w:r w:rsidRPr="001B628C">
        <w:rPr>
          <w:b/>
          <w:i/>
          <w:iCs/>
          <w:caps/>
        </w:rPr>
        <w:t>Faculté de chimie</w:t>
      </w:r>
    </w:p>
    <w:p w:rsidR="0002132D" w:rsidRPr="001B628C" w:rsidRDefault="0002132D" w:rsidP="0002132D">
      <w:pPr>
        <w:jc w:val="center"/>
        <w:rPr>
          <w:b/>
          <w:i/>
          <w:iCs/>
        </w:rPr>
      </w:pPr>
      <w:r w:rsidRPr="001B628C">
        <w:rPr>
          <w:b/>
          <w:i/>
          <w:iCs/>
        </w:rPr>
        <w:t>Laboratoire de Matériaux Catalytiques et Catalyse en Chimie Organique</w:t>
      </w:r>
    </w:p>
    <w:p w:rsidR="0002132D" w:rsidRPr="00E6757D" w:rsidRDefault="008E13EA" w:rsidP="0002132D">
      <w:pPr>
        <w:jc w:val="center"/>
        <w:rPr>
          <w:b/>
          <w:i/>
          <w:caps/>
        </w:rPr>
      </w:pPr>
      <w:r>
        <w:rPr>
          <w:b/>
          <w:i/>
          <w:caps/>
          <w:noProof/>
        </w:rPr>
        <w:pict>
          <v:line id="_x0000_s1031" style="position:absolute;left:0;text-align:left;z-index:251660288" from="1.35pt,6.9pt" to="483.25pt,6.9pt" o:allowincell="f" strokeweight="4.5pt">
            <v:stroke linestyle="thickThin"/>
          </v:line>
        </w:pict>
      </w:r>
    </w:p>
    <w:p w:rsidR="0002132D" w:rsidRDefault="0002132D" w:rsidP="001B628C">
      <w:pPr>
        <w:shd w:val="clear" w:color="auto" w:fill="FFFFFF"/>
        <w:spacing w:line="360" w:lineRule="auto"/>
        <w:jc w:val="center"/>
        <w:rPr>
          <w:b/>
          <w:bCs/>
          <w:color w:val="000000"/>
        </w:rPr>
      </w:pPr>
      <w:r w:rsidRPr="009A1B5A">
        <w:rPr>
          <w:b/>
          <w:bCs/>
          <w:color w:val="000000"/>
        </w:rPr>
        <w:t>SYNTHESE, CARACTERISATION ET ACTIVITE CATALYTIQUE DES MA</w:t>
      </w:r>
      <w:r>
        <w:rPr>
          <w:b/>
          <w:bCs/>
          <w:color w:val="000000"/>
        </w:rPr>
        <w:t xml:space="preserve">TERIAUX DE STRUCTURE PEROVSKITE </w:t>
      </w:r>
    </w:p>
    <w:p w:rsidR="0002132D" w:rsidRPr="009A1B5A" w:rsidRDefault="008E13EA" w:rsidP="0002132D">
      <w:pPr>
        <w:shd w:val="clear" w:color="auto" w:fill="FFFFFF"/>
        <w:spacing w:line="360" w:lineRule="auto"/>
        <w:jc w:val="center"/>
        <w:rPr>
          <w:rFonts w:ascii="Arial" w:hAnsi="Arial" w:cs="Arial"/>
          <w:b/>
          <w:bCs/>
          <w:color w:val="222222"/>
          <w:sz w:val="14"/>
          <w:szCs w:val="14"/>
        </w:rPr>
      </w:pPr>
      <w:r w:rsidRPr="008E13EA">
        <w:rPr>
          <w:i/>
          <w:noProof/>
        </w:rPr>
        <w:pict>
          <v:line id="_x0000_s1032" style="position:absolute;left:0;text-align:left;z-index:251661312" from=".65pt,2.7pt" to="482.55pt,2.7pt" o:allowincell="f" strokeweight="4.5pt">
            <v:stroke linestyle="thinThick"/>
          </v:line>
        </w:pict>
      </w:r>
    </w:p>
    <w:p w:rsidR="0002132D" w:rsidRPr="001B628C" w:rsidRDefault="0002132D" w:rsidP="00252E69">
      <w:pPr>
        <w:jc w:val="center"/>
        <w:rPr>
          <w:i/>
          <w:noProof/>
        </w:rPr>
      </w:pPr>
      <w:r w:rsidRPr="001B628C">
        <w:rPr>
          <w:b/>
          <w:i/>
          <w:caps/>
        </w:rPr>
        <w:t xml:space="preserve">M. FARES Aissat </w:t>
      </w:r>
    </w:p>
    <w:p w:rsidR="0002132D" w:rsidRPr="001B628C" w:rsidRDefault="0002132D" w:rsidP="001B628C">
      <w:pPr>
        <w:autoSpaceDE w:val="0"/>
        <w:autoSpaceDN w:val="0"/>
        <w:adjustRightInd w:val="0"/>
        <w:jc w:val="center"/>
        <w:rPr>
          <w:b/>
        </w:rPr>
      </w:pPr>
      <w:r w:rsidRPr="001B628C">
        <w:rPr>
          <w:b/>
        </w:rPr>
        <w:t>Discipline : Chimie Organique Appliquée</w:t>
      </w:r>
    </w:p>
    <w:p w:rsidR="0002132D" w:rsidRPr="001B628C" w:rsidRDefault="0002132D" w:rsidP="0002132D">
      <w:pPr>
        <w:autoSpaceDE w:val="0"/>
        <w:autoSpaceDN w:val="0"/>
        <w:adjustRightInd w:val="0"/>
        <w:jc w:val="center"/>
        <w:rPr>
          <w:b/>
        </w:rPr>
      </w:pPr>
      <w:r w:rsidRPr="001B628C">
        <w:rPr>
          <w:b/>
        </w:rPr>
        <w:t>Option : Catalyse</w:t>
      </w:r>
    </w:p>
    <w:p w:rsidR="0002132D" w:rsidRPr="001B628C" w:rsidRDefault="0002132D" w:rsidP="0002132D">
      <w:pPr>
        <w:pBdr>
          <w:bottom w:val="single" w:sz="6" w:space="1" w:color="auto"/>
        </w:pBdr>
        <w:autoSpaceDE w:val="0"/>
        <w:autoSpaceDN w:val="0"/>
        <w:adjustRightInd w:val="0"/>
        <w:rPr>
          <w:b/>
          <w:i/>
          <w:iCs/>
        </w:rPr>
      </w:pPr>
      <w:r w:rsidRPr="001B628C">
        <w:rPr>
          <w:b/>
          <w:i/>
          <w:iCs/>
        </w:rPr>
        <w:t xml:space="preserve">RESUME </w:t>
      </w:r>
    </w:p>
    <w:p w:rsidR="0002132D" w:rsidRPr="001B628C" w:rsidRDefault="0002132D" w:rsidP="0073191D">
      <w:pPr>
        <w:autoSpaceDE w:val="0"/>
        <w:autoSpaceDN w:val="0"/>
        <w:adjustRightInd w:val="0"/>
        <w:spacing w:line="300" w:lineRule="auto"/>
        <w:ind w:firstLine="284"/>
        <w:jc w:val="both"/>
        <w:rPr>
          <w:sz w:val="22"/>
          <w:szCs w:val="22"/>
        </w:rPr>
      </w:pPr>
      <w:r w:rsidRPr="001B628C">
        <w:rPr>
          <w:sz w:val="22"/>
          <w:szCs w:val="22"/>
        </w:rPr>
        <w:t xml:space="preserve">Le présent travail s’intéresse </w:t>
      </w:r>
      <w:r w:rsidRPr="001B628C">
        <w:rPr>
          <w:iCs/>
          <w:sz w:val="22"/>
          <w:szCs w:val="22"/>
        </w:rPr>
        <w:t xml:space="preserve">à l’étude de l’influence de la </w:t>
      </w:r>
      <w:r w:rsidRPr="001B628C">
        <w:rPr>
          <w:sz w:val="22"/>
          <w:szCs w:val="22"/>
        </w:rPr>
        <w:t xml:space="preserve">substitution </w:t>
      </w:r>
      <w:r w:rsidR="00993202" w:rsidRPr="001B628C">
        <w:rPr>
          <w:iCs/>
          <w:sz w:val="22"/>
          <w:szCs w:val="22"/>
        </w:rPr>
        <w:t xml:space="preserve">partielle ou totale dans les sous-réseaux cationique en site A </w:t>
      </w:r>
      <w:r w:rsidRPr="001B628C">
        <w:rPr>
          <w:sz w:val="22"/>
          <w:szCs w:val="22"/>
        </w:rPr>
        <w:t>et B dans</w:t>
      </w:r>
      <w:r w:rsidRPr="001B628C">
        <w:rPr>
          <w:color w:val="000000"/>
          <w:sz w:val="22"/>
          <w:szCs w:val="22"/>
        </w:rPr>
        <w:t xml:space="preserve"> </w:t>
      </w:r>
      <w:r w:rsidRPr="001B628C">
        <w:rPr>
          <w:rFonts w:eastAsia="Calibri"/>
          <w:noProof/>
          <w:color w:val="000000"/>
          <w:sz w:val="22"/>
          <w:szCs w:val="22"/>
        </w:rPr>
        <w:t xml:space="preserve">la formulation </w:t>
      </w:r>
      <w:r w:rsidR="00DF3856">
        <w:rPr>
          <w:rFonts w:eastAsia="Calibri"/>
          <w:noProof/>
          <w:color w:val="000000"/>
          <w:sz w:val="22"/>
          <w:szCs w:val="22"/>
        </w:rPr>
        <w:t xml:space="preserve">de base </w:t>
      </w:r>
      <w:r w:rsidRPr="001B628C">
        <w:rPr>
          <w:color w:val="000000"/>
          <w:sz w:val="22"/>
          <w:szCs w:val="22"/>
        </w:rPr>
        <w:t>Ba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Sr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Co</w:t>
      </w:r>
      <w:r w:rsidRPr="001B628C">
        <w:rPr>
          <w:color w:val="000000"/>
          <w:sz w:val="22"/>
          <w:szCs w:val="22"/>
          <w:vertAlign w:val="subscript"/>
        </w:rPr>
        <w:t>0.8</w:t>
      </w:r>
      <w:r w:rsidRPr="001B628C">
        <w:rPr>
          <w:color w:val="000000"/>
          <w:sz w:val="22"/>
          <w:szCs w:val="22"/>
        </w:rPr>
        <w:t>Fe</w:t>
      </w:r>
      <w:r w:rsidRPr="001B628C">
        <w:rPr>
          <w:color w:val="000000"/>
          <w:sz w:val="22"/>
          <w:szCs w:val="22"/>
          <w:vertAlign w:val="subscript"/>
        </w:rPr>
        <w:t>0.2</w:t>
      </w:r>
      <w:r w:rsidRPr="001B628C">
        <w:rPr>
          <w:color w:val="000000"/>
          <w:sz w:val="22"/>
          <w:szCs w:val="22"/>
        </w:rPr>
        <w:t>O</w:t>
      </w:r>
      <w:r w:rsidRPr="001B628C">
        <w:rPr>
          <w:color w:val="000000"/>
          <w:sz w:val="22"/>
          <w:szCs w:val="22"/>
          <w:vertAlign w:val="subscript"/>
        </w:rPr>
        <w:t xml:space="preserve">3−δ </w:t>
      </w:r>
      <w:r w:rsidRPr="001B628C">
        <w:rPr>
          <w:color w:val="000000"/>
          <w:sz w:val="22"/>
          <w:szCs w:val="22"/>
        </w:rPr>
        <w:t xml:space="preserve">(BSCF) </w:t>
      </w:r>
      <w:r w:rsidRPr="001B628C">
        <w:rPr>
          <w:iCs/>
          <w:color w:val="000000"/>
          <w:sz w:val="22"/>
          <w:szCs w:val="22"/>
        </w:rPr>
        <w:t xml:space="preserve">sur leur </w:t>
      </w:r>
      <w:r w:rsidR="00E90110">
        <w:rPr>
          <w:bCs/>
          <w:sz w:val="22"/>
          <w:szCs w:val="22"/>
        </w:rPr>
        <w:t>structure et leur performance</w:t>
      </w:r>
      <w:r w:rsidRPr="001B628C">
        <w:rPr>
          <w:bCs/>
          <w:sz w:val="22"/>
          <w:szCs w:val="22"/>
        </w:rPr>
        <w:t xml:space="preserve"> électro-catalytique</w:t>
      </w:r>
      <w:r w:rsidRPr="001B628C">
        <w:rPr>
          <w:sz w:val="22"/>
          <w:szCs w:val="22"/>
        </w:rPr>
        <w:t>. Dans ce contexte, une série</w:t>
      </w:r>
      <w:r w:rsidR="00A23AF9">
        <w:rPr>
          <w:color w:val="000000"/>
          <w:sz w:val="22"/>
          <w:szCs w:val="22"/>
        </w:rPr>
        <w:t xml:space="preserve"> d’</w:t>
      </w:r>
      <w:r w:rsidRPr="001B628C">
        <w:rPr>
          <w:color w:val="000000"/>
          <w:sz w:val="22"/>
          <w:szCs w:val="22"/>
        </w:rPr>
        <w:t>oxydes type-pérovskite de formule Ba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M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Co</w:t>
      </w:r>
      <w:r w:rsidRPr="001B628C">
        <w:rPr>
          <w:color w:val="000000"/>
          <w:sz w:val="22"/>
          <w:szCs w:val="22"/>
          <w:vertAlign w:val="subscript"/>
        </w:rPr>
        <w:t>0.8-x</w:t>
      </w:r>
      <w:r w:rsidRPr="001B628C">
        <w:rPr>
          <w:color w:val="000000"/>
          <w:sz w:val="22"/>
          <w:szCs w:val="22"/>
        </w:rPr>
        <w:t>Ni</w:t>
      </w:r>
      <w:r w:rsidRPr="001B628C">
        <w:rPr>
          <w:color w:val="000000"/>
          <w:sz w:val="22"/>
          <w:szCs w:val="22"/>
          <w:vertAlign w:val="subscript"/>
        </w:rPr>
        <w:t>x</w:t>
      </w:r>
      <w:r w:rsidRPr="001B628C">
        <w:rPr>
          <w:color w:val="000000"/>
          <w:sz w:val="22"/>
          <w:szCs w:val="22"/>
        </w:rPr>
        <w:t>Fe</w:t>
      </w:r>
      <w:r w:rsidRPr="001B628C">
        <w:rPr>
          <w:color w:val="000000"/>
          <w:sz w:val="22"/>
          <w:szCs w:val="22"/>
          <w:vertAlign w:val="subscript"/>
        </w:rPr>
        <w:t>0.2</w:t>
      </w:r>
      <w:r w:rsidRPr="001B628C">
        <w:rPr>
          <w:color w:val="000000"/>
          <w:sz w:val="22"/>
          <w:szCs w:val="22"/>
        </w:rPr>
        <w:t>O</w:t>
      </w:r>
      <w:r w:rsidRPr="001B628C">
        <w:rPr>
          <w:color w:val="000000"/>
          <w:sz w:val="22"/>
          <w:szCs w:val="22"/>
          <w:vertAlign w:val="subscript"/>
        </w:rPr>
        <w:t>3−δ</w:t>
      </w:r>
      <w:r w:rsidR="0073191D">
        <w:rPr>
          <w:color w:val="000000"/>
          <w:sz w:val="22"/>
          <w:szCs w:val="22"/>
        </w:rPr>
        <w:t xml:space="preserve"> (M</w:t>
      </w:r>
      <w:r w:rsidRPr="001B628C">
        <w:rPr>
          <w:color w:val="000000"/>
          <w:sz w:val="22"/>
          <w:szCs w:val="22"/>
        </w:rPr>
        <w:t>= Sr, La, Ba et x= 0 et 0.2) ont été synthétisées</w:t>
      </w:r>
      <w:r w:rsidRPr="001B628C">
        <w:rPr>
          <w:sz w:val="22"/>
          <w:szCs w:val="22"/>
        </w:rPr>
        <w:t>, caractérisées</w:t>
      </w:r>
      <w:r w:rsidRPr="001B628C">
        <w:rPr>
          <w:color w:val="000000"/>
          <w:sz w:val="22"/>
          <w:szCs w:val="22"/>
        </w:rPr>
        <w:t xml:space="preserve"> </w:t>
      </w:r>
      <w:r w:rsidRPr="001B628C">
        <w:rPr>
          <w:sz w:val="22"/>
          <w:szCs w:val="22"/>
        </w:rPr>
        <w:t>et leurs propriétés électro-catal</w:t>
      </w:r>
      <w:r w:rsidR="00A23AF9">
        <w:rPr>
          <w:sz w:val="22"/>
          <w:szCs w:val="22"/>
        </w:rPr>
        <w:t>ytiques ont été évaluées dans l’</w:t>
      </w:r>
      <w:r w:rsidRPr="001B628C">
        <w:rPr>
          <w:sz w:val="22"/>
          <w:szCs w:val="22"/>
        </w:rPr>
        <w:t>électro-oxydation du méthanol.</w:t>
      </w:r>
      <w:r w:rsidRPr="001B628C">
        <w:rPr>
          <w:color w:val="000000"/>
          <w:sz w:val="22"/>
          <w:szCs w:val="22"/>
        </w:rPr>
        <w:t xml:space="preserve"> </w:t>
      </w:r>
      <w:r w:rsidRPr="001B628C">
        <w:rPr>
          <w:sz w:val="22"/>
          <w:szCs w:val="22"/>
        </w:rPr>
        <w:t>Les catalyseurs ont été préparés par la complexation de précurseurs nitrates par l’acide citrique et EDTA. Le comportement thermique des précurseurs a été suivie par Thermo-balance couplée ATG-A</w:t>
      </w:r>
      <w:r w:rsidR="00E90110">
        <w:rPr>
          <w:sz w:val="22"/>
          <w:szCs w:val="22"/>
        </w:rPr>
        <w:t>TD/DSC. Après calcination à 850</w:t>
      </w:r>
      <w:r w:rsidR="00A23AF9">
        <w:rPr>
          <w:sz w:val="22"/>
          <w:szCs w:val="22"/>
        </w:rPr>
        <w:t>°C pendant 5</w:t>
      </w:r>
      <w:r w:rsidRPr="001B628C">
        <w:rPr>
          <w:sz w:val="22"/>
          <w:szCs w:val="22"/>
        </w:rPr>
        <w:t>heur</w:t>
      </w:r>
      <w:r w:rsidR="0062134A">
        <w:rPr>
          <w:sz w:val="22"/>
          <w:szCs w:val="22"/>
        </w:rPr>
        <w:t>e</w:t>
      </w:r>
      <w:r w:rsidRPr="001B628C">
        <w:rPr>
          <w:sz w:val="22"/>
          <w:szCs w:val="22"/>
        </w:rPr>
        <w:t>s, les oxydes obtenus ont été analysés par plusieurs techniques de c</w:t>
      </w:r>
      <w:r w:rsidR="00E90110">
        <w:rPr>
          <w:sz w:val="22"/>
          <w:szCs w:val="22"/>
        </w:rPr>
        <w:t>a</w:t>
      </w:r>
      <w:r w:rsidRPr="001B628C">
        <w:rPr>
          <w:sz w:val="22"/>
          <w:szCs w:val="22"/>
        </w:rPr>
        <w:t>ra</w:t>
      </w:r>
      <w:r w:rsidR="00E90110">
        <w:rPr>
          <w:sz w:val="22"/>
          <w:szCs w:val="22"/>
        </w:rPr>
        <w:t>c</w:t>
      </w:r>
      <w:r w:rsidRPr="001B628C">
        <w:rPr>
          <w:sz w:val="22"/>
          <w:szCs w:val="22"/>
        </w:rPr>
        <w:t>térisatio</w:t>
      </w:r>
      <w:r w:rsidR="00E90110">
        <w:rPr>
          <w:sz w:val="22"/>
          <w:szCs w:val="22"/>
        </w:rPr>
        <w:t>n physico-chimiques : DRX, IR</w:t>
      </w:r>
      <w:r w:rsidR="00777C32">
        <w:rPr>
          <w:sz w:val="22"/>
          <w:szCs w:val="22"/>
        </w:rPr>
        <w:t>-</w:t>
      </w:r>
      <w:r w:rsidR="00E90110">
        <w:rPr>
          <w:sz w:val="22"/>
          <w:szCs w:val="22"/>
        </w:rPr>
        <w:t>TF</w:t>
      </w:r>
      <w:r w:rsidRPr="001B628C">
        <w:rPr>
          <w:sz w:val="22"/>
          <w:szCs w:val="22"/>
        </w:rPr>
        <w:t>, SLR, MEB-EDX, mesure de la surface spécifique</w:t>
      </w:r>
      <w:r w:rsidR="005371CE">
        <w:rPr>
          <w:sz w:val="22"/>
          <w:szCs w:val="22"/>
        </w:rPr>
        <w:t xml:space="preserve"> par BET</w:t>
      </w:r>
      <w:r w:rsidR="0073191D">
        <w:rPr>
          <w:sz w:val="22"/>
          <w:szCs w:val="22"/>
        </w:rPr>
        <w:t xml:space="preserve"> </w:t>
      </w:r>
      <w:r w:rsidRPr="001B628C">
        <w:rPr>
          <w:sz w:val="22"/>
          <w:szCs w:val="22"/>
        </w:rPr>
        <w:t>et H</w:t>
      </w:r>
      <w:r w:rsidRPr="001B628C">
        <w:rPr>
          <w:sz w:val="22"/>
          <w:szCs w:val="22"/>
          <w:vertAlign w:val="subscript"/>
        </w:rPr>
        <w:t>2</w:t>
      </w:r>
      <w:r w:rsidRPr="001B628C">
        <w:rPr>
          <w:sz w:val="22"/>
          <w:szCs w:val="22"/>
        </w:rPr>
        <w:t xml:space="preserve">-TPR. Les mesures électriques du solide </w:t>
      </w:r>
      <w:r w:rsidRPr="001B628C">
        <w:rPr>
          <w:color w:val="000000"/>
          <w:sz w:val="22"/>
          <w:szCs w:val="22"/>
        </w:rPr>
        <w:t>BSCF</w:t>
      </w:r>
      <w:r w:rsidRPr="001B628C">
        <w:rPr>
          <w:sz w:val="22"/>
          <w:szCs w:val="22"/>
        </w:rPr>
        <w:t xml:space="preserve"> ont été effectuées </w:t>
      </w:r>
      <w:r w:rsidR="0062134A" w:rsidRPr="001B628C">
        <w:rPr>
          <w:sz w:val="22"/>
          <w:szCs w:val="22"/>
        </w:rPr>
        <w:t>par la méthode à deux sondes</w:t>
      </w:r>
      <w:r w:rsidR="0062134A">
        <w:rPr>
          <w:sz w:val="22"/>
          <w:szCs w:val="22"/>
        </w:rPr>
        <w:t>,</w:t>
      </w:r>
      <w:r w:rsidR="0062134A" w:rsidRPr="001B628C">
        <w:rPr>
          <w:sz w:val="22"/>
          <w:szCs w:val="22"/>
        </w:rPr>
        <w:t xml:space="preserve"> </w:t>
      </w:r>
      <w:r w:rsidRPr="001B628C">
        <w:rPr>
          <w:sz w:val="22"/>
          <w:szCs w:val="22"/>
        </w:rPr>
        <w:t xml:space="preserve">sous air en utilisant des mesures de 5 K, dans </w:t>
      </w:r>
      <w:r w:rsidR="00E90110">
        <w:rPr>
          <w:sz w:val="22"/>
          <w:szCs w:val="22"/>
        </w:rPr>
        <w:t>un</w:t>
      </w:r>
      <w:r w:rsidRPr="001B628C">
        <w:rPr>
          <w:sz w:val="22"/>
          <w:szCs w:val="22"/>
        </w:rPr>
        <w:t xml:space="preserve"> domaine de température compris entre 300 </w:t>
      </w:r>
      <w:r w:rsidR="0062134A">
        <w:rPr>
          <w:sz w:val="22"/>
          <w:szCs w:val="22"/>
        </w:rPr>
        <w:t>et 600 K</w:t>
      </w:r>
      <w:r w:rsidRPr="001B628C">
        <w:rPr>
          <w:sz w:val="22"/>
          <w:szCs w:val="22"/>
        </w:rPr>
        <w:t>.</w:t>
      </w:r>
    </w:p>
    <w:p w:rsidR="0002132D" w:rsidRPr="001B628C" w:rsidRDefault="0062134A" w:rsidP="00777C32">
      <w:pPr>
        <w:numPr>
          <w:ilvl w:val="0"/>
          <w:numId w:val="1"/>
        </w:numPr>
        <w:autoSpaceDE w:val="0"/>
        <w:autoSpaceDN w:val="0"/>
        <w:adjustRightInd w:val="0"/>
        <w:spacing w:line="300" w:lineRule="auto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L</w:t>
      </w:r>
      <w:r w:rsidR="00E90110">
        <w:rPr>
          <w:sz w:val="22"/>
          <w:szCs w:val="22"/>
        </w:rPr>
        <w:t>es résultats de l</w:t>
      </w:r>
      <w:r w:rsidR="0002132D" w:rsidRPr="001B628C">
        <w:rPr>
          <w:sz w:val="22"/>
          <w:szCs w:val="22"/>
        </w:rPr>
        <w:t xml:space="preserve">’analyse thermique </w:t>
      </w:r>
      <w:r w:rsidR="00E90110">
        <w:rPr>
          <w:sz w:val="22"/>
          <w:szCs w:val="22"/>
        </w:rPr>
        <w:t xml:space="preserve">effectuée par ATG-ATD/DSC </w:t>
      </w:r>
      <w:r w:rsidR="0002132D" w:rsidRPr="001B628C">
        <w:rPr>
          <w:sz w:val="22"/>
          <w:szCs w:val="22"/>
        </w:rPr>
        <w:t>sur les précurseurs, nous a permis de montrer les différentes transfor</w:t>
      </w:r>
      <w:r w:rsidR="005371CE">
        <w:rPr>
          <w:sz w:val="22"/>
          <w:szCs w:val="22"/>
        </w:rPr>
        <w:t>mations qui ont lieu au cours d’</w:t>
      </w:r>
      <w:r w:rsidR="0002132D" w:rsidRPr="001B628C">
        <w:rPr>
          <w:sz w:val="22"/>
          <w:szCs w:val="22"/>
        </w:rPr>
        <w:t>un cycle de chauffage (</w:t>
      </w:r>
      <w:r w:rsidR="00E90110">
        <w:rPr>
          <w:sz w:val="22"/>
          <w:szCs w:val="22"/>
        </w:rPr>
        <w:t>50</w:t>
      </w:r>
      <w:r w:rsidR="0002132D" w:rsidRPr="001B628C">
        <w:rPr>
          <w:sz w:val="22"/>
          <w:szCs w:val="22"/>
        </w:rPr>
        <w:t>-1000</w:t>
      </w:r>
      <w:r w:rsidR="0073191D">
        <w:rPr>
          <w:sz w:val="22"/>
          <w:szCs w:val="22"/>
        </w:rPr>
        <w:t xml:space="preserve"> </w:t>
      </w:r>
      <w:r w:rsidR="0002132D" w:rsidRPr="001B628C">
        <w:rPr>
          <w:sz w:val="22"/>
          <w:szCs w:val="22"/>
        </w:rPr>
        <w:t>°C).</w:t>
      </w:r>
    </w:p>
    <w:p w:rsidR="0002132D" w:rsidRPr="001B628C" w:rsidRDefault="00E90110" w:rsidP="001D1351">
      <w:pPr>
        <w:numPr>
          <w:ilvl w:val="0"/>
          <w:numId w:val="1"/>
        </w:numPr>
        <w:autoSpaceDE w:val="0"/>
        <w:autoSpaceDN w:val="0"/>
        <w:adjustRightInd w:val="0"/>
        <w:spacing w:line="300" w:lineRule="auto"/>
        <w:ind w:left="284" w:hanging="284"/>
        <w:jc w:val="both"/>
        <w:rPr>
          <w:b/>
          <w:sz w:val="22"/>
          <w:szCs w:val="22"/>
        </w:rPr>
      </w:pPr>
      <w:r>
        <w:rPr>
          <w:sz w:val="22"/>
          <w:szCs w:val="22"/>
        </w:rPr>
        <w:t>A</w:t>
      </w:r>
      <w:r w:rsidRPr="001B628C">
        <w:rPr>
          <w:sz w:val="22"/>
          <w:szCs w:val="22"/>
        </w:rPr>
        <w:t>près ca</w:t>
      </w:r>
      <w:r>
        <w:rPr>
          <w:sz w:val="22"/>
          <w:szCs w:val="22"/>
        </w:rPr>
        <w:t>lcination des précurseurs à 850</w:t>
      </w:r>
      <w:r w:rsidR="0073191D">
        <w:rPr>
          <w:sz w:val="22"/>
          <w:szCs w:val="22"/>
        </w:rPr>
        <w:t xml:space="preserve"> </w:t>
      </w:r>
      <w:r>
        <w:rPr>
          <w:sz w:val="22"/>
          <w:szCs w:val="22"/>
        </w:rPr>
        <w:t>°C, l</w:t>
      </w:r>
      <w:r w:rsidR="0002132D" w:rsidRPr="001B628C">
        <w:rPr>
          <w:sz w:val="22"/>
          <w:szCs w:val="22"/>
        </w:rPr>
        <w:t xml:space="preserve">es </w:t>
      </w:r>
      <w:r>
        <w:rPr>
          <w:sz w:val="22"/>
          <w:szCs w:val="22"/>
        </w:rPr>
        <w:t xml:space="preserve">résultats obtenus par </w:t>
      </w:r>
      <w:r w:rsidR="0002132D" w:rsidRPr="001B628C">
        <w:rPr>
          <w:sz w:val="22"/>
          <w:szCs w:val="22"/>
        </w:rPr>
        <w:t>diffraction des rayons X</w:t>
      </w:r>
      <w:r>
        <w:rPr>
          <w:sz w:val="22"/>
          <w:szCs w:val="22"/>
        </w:rPr>
        <w:t xml:space="preserve"> et confirmé</w:t>
      </w:r>
      <w:r w:rsidR="0002132D" w:rsidRPr="001B628C">
        <w:rPr>
          <w:sz w:val="22"/>
          <w:szCs w:val="22"/>
        </w:rPr>
        <w:t xml:space="preserve">s par la spectroscopie Laser du Raman et </w:t>
      </w:r>
      <w:r>
        <w:rPr>
          <w:sz w:val="22"/>
          <w:szCs w:val="22"/>
        </w:rPr>
        <w:t xml:space="preserve">la </w:t>
      </w:r>
      <w:r w:rsidR="0002132D" w:rsidRPr="001B628C">
        <w:rPr>
          <w:sz w:val="22"/>
          <w:szCs w:val="22"/>
        </w:rPr>
        <w:t xml:space="preserve">spectroscopie infrarouge, nous </w:t>
      </w:r>
      <w:r w:rsidR="0062134A">
        <w:rPr>
          <w:sz w:val="22"/>
          <w:szCs w:val="22"/>
        </w:rPr>
        <w:t>ont</w:t>
      </w:r>
      <w:r w:rsidR="0002132D" w:rsidRPr="001B628C">
        <w:rPr>
          <w:sz w:val="22"/>
          <w:szCs w:val="22"/>
        </w:rPr>
        <w:t xml:space="preserve"> permis d</w:t>
      </w:r>
      <w:r w:rsidR="001D1351">
        <w:rPr>
          <w:sz w:val="22"/>
          <w:szCs w:val="22"/>
        </w:rPr>
        <w:t>’</w:t>
      </w:r>
      <w:r w:rsidR="0062134A">
        <w:rPr>
          <w:sz w:val="22"/>
          <w:szCs w:val="22"/>
        </w:rPr>
        <w:t>identifi</w:t>
      </w:r>
      <w:r w:rsidR="0002132D" w:rsidRPr="001B628C">
        <w:rPr>
          <w:sz w:val="22"/>
          <w:szCs w:val="22"/>
        </w:rPr>
        <w:t>e</w:t>
      </w:r>
      <w:r w:rsidR="0062134A">
        <w:rPr>
          <w:sz w:val="22"/>
          <w:szCs w:val="22"/>
        </w:rPr>
        <w:t>r</w:t>
      </w:r>
      <w:r w:rsidR="0002132D" w:rsidRPr="001B628C">
        <w:rPr>
          <w:sz w:val="22"/>
          <w:szCs w:val="22"/>
        </w:rPr>
        <w:t xml:space="preserve"> les différentes modifications de la symétrie cristalline engendrées par </w:t>
      </w:r>
      <w:r>
        <w:rPr>
          <w:sz w:val="22"/>
          <w:szCs w:val="22"/>
        </w:rPr>
        <w:t xml:space="preserve">la </w:t>
      </w:r>
      <w:r w:rsidR="0002132D" w:rsidRPr="001B628C">
        <w:rPr>
          <w:sz w:val="22"/>
          <w:szCs w:val="22"/>
        </w:rPr>
        <w:t>su</w:t>
      </w:r>
      <w:r>
        <w:rPr>
          <w:sz w:val="22"/>
          <w:szCs w:val="22"/>
        </w:rPr>
        <w:t xml:space="preserve">bstitution totale du strontium par le </w:t>
      </w:r>
      <w:r w:rsidR="0062134A">
        <w:rPr>
          <w:sz w:val="22"/>
          <w:szCs w:val="22"/>
        </w:rPr>
        <w:t>l</w:t>
      </w:r>
      <w:r>
        <w:rPr>
          <w:sz w:val="22"/>
          <w:szCs w:val="22"/>
        </w:rPr>
        <w:t xml:space="preserve">anthane </w:t>
      </w:r>
      <w:r w:rsidR="0062134A">
        <w:rPr>
          <w:sz w:val="22"/>
          <w:szCs w:val="22"/>
        </w:rPr>
        <w:t xml:space="preserve">(La) </w:t>
      </w:r>
      <w:r>
        <w:rPr>
          <w:sz w:val="22"/>
          <w:szCs w:val="22"/>
        </w:rPr>
        <w:t xml:space="preserve">ou le </w:t>
      </w:r>
      <w:r w:rsidR="0062134A">
        <w:rPr>
          <w:sz w:val="22"/>
          <w:szCs w:val="22"/>
        </w:rPr>
        <w:t>b</w:t>
      </w:r>
      <w:r>
        <w:rPr>
          <w:sz w:val="22"/>
          <w:szCs w:val="22"/>
        </w:rPr>
        <w:t>arium</w:t>
      </w:r>
      <w:r w:rsidR="0002132D" w:rsidRPr="001B628C">
        <w:rPr>
          <w:sz w:val="22"/>
          <w:szCs w:val="22"/>
        </w:rPr>
        <w:t xml:space="preserve"> </w:t>
      </w:r>
      <w:r w:rsidR="0062134A">
        <w:rPr>
          <w:sz w:val="22"/>
          <w:szCs w:val="22"/>
        </w:rPr>
        <w:t xml:space="preserve">(Ba) </w:t>
      </w:r>
      <w:r w:rsidR="0002132D" w:rsidRPr="001B628C">
        <w:rPr>
          <w:sz w:val="22"/>
          <w:szCs w:val="22"/>
        </w:rPr>
        <w:t xml:space="preserve">ou </w:t>
      </w:r>
      <w:r w:rsidR="001B628C">
        <w:rPr>
          <w:sz w:val="22"/>
          <w:szCs w:val="22"/>
        </w:rPr>
        <w:t>par</w:t>
      </w:r>
      <w:r w:rsidR="001B628C" w:rsidRPr="001B628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la </w:t>
      </w:r>
      <w:r w:rsidRPr="001B628C">
        <w:rPr>
          <w:sz w:val="22"/>
          <w:szCs w:val="22"/>
        </w:rPr>
        <w:t xml:space="preserve">substitution </w:t>
      </w:r>
      <w:r w:rsidR="001B628C" w:rsidRPr="001B628C">
        <w:rPr>
          <w:sz w:val="22"/>
          <w:szCs w:val="22"/>
        </w:rPr>
        <w:t xml:space="preserve">partielle </w:t>
      </w:r>
      <w:r>
        <w:rPr>
          <w:sz w:val="22"/>
          <w:szCs w:val="22"/>
        </w:rPr>
        <w:t xml:space="preserve">du cobalt </w:t>
      </w:r>
      <w:r w:rsidR="0062134A">
        <w:rPr>
          <w:sz w:val="22"/>
          <w:szCs w:val="22"/>
        </w:rPr>
        <w:t xml:space="preserve">(Co) </w:t>
      </w:r>
      <w:r w:rsidR="0002132D" w:rsidRPr="001B628C">
        <w:rPr>
          <w:sz w:val="22"/>
          <w:szCs w:val="22"/>
        </w:rPr>
        <w:t xml:space="preserve">par </w:t>
      </w:r>
      <w:r>
        <w:rPr>
          <w:sz w:val="22"/>
          <w:szCs w:val="22"/>
        </w:rPr>
        <w:t xml:space="preserve">le </w:t>
      </w:r>
      <w:r w:rsidR="0062134A">
        <w:rPr>
          <w:sz w:val="22"/>
          <w:szCs w:val="22"/>
        </w:rPr>
        <w:t>n</w:t>
      </w:r>
      <w:r w:rsidR="0002132D" w:rsidRPr="001B628C">
        <w:rPr>
          <w:sz w:val="22"/>
          <w:szCs w:val="22"/>
        </w:rPr>
        <w:t>i</w:t>
      </w:r>
      <w:r>
        <w:rPr>
          <w:sz w:val="22"/>
          <w:szCs w:val="22"/>
        </w:rPr>
        <w:t>ckel</w:t>
      </w:r>
      <w:r w:rsidR="0062134A">
        <w:rPr>
          <w:sz w:val="22"/>
          <w:szCs w:val="22"/>
        </w:rPr>
        <w:t xml:space="preserve"> (Ni)</w:t>
      </w:r>
      <w:r w:rsidR="0002132D" w:rsidRPr="001B628C">
        <w:rPr>
          <w:sz w:val="22"/>
          <w:szCs w:val="22"/>
        </w:rPr>
        <w:t xml:space="preserve"> dans la formulation Ba</w:t>
      </w:r>
      <w:r w:rsidR="0002132D" w:rsidRPr="001B628C">
        <w:rPr>
          <w:sz w:val="22"/>
          <w:szCs w:val="22"/>
          <w:vertAlign w:val="subscript"/>
        </w:rPr>
        <w:t>0.5</w:t>
      </w:r>
      <w:r w:rsidR="0002132D" w:rsidRPr="001B628C">
        <w:rPr>
          <w:sz w:val="22"/>
          <w:szCs w:val="22"/>
        </w:rPr>
        <w:t>M</w:t>
      </w:r>
      <w:r w:rsidR="0002132D" w:rsidRPr="001B628C">
        <w:rPr>
          <w:sz w:val="22"/>
          <w:szCs w:val="22"/>
          <w:vertAlign w:val="subscript"/>
        </w:rPr>
        <w:t>0.5</w:t>
      </w:r>
      <w:r w:rsidR="0002132D" w:rsidRPr="001B628C">
        <w:rPr>
          <w:sz w:val="22"/>
          <w:szCs w:val="22"/>
        </w:rPr>
        <w:t>Co</w:t>
      </w:r>
      <w:r w:rsidR="0002132D" w:rsidRPr="001B628C">
        <w:rPr>
          <w:sz w:val="22"/>
          <w:szCs w:val="22"/>
          <w:vertAlign w:val="subscript"/>
        </w:rPr>
        <w:t>0.8-x</w:t>
      </w:r>
      <w:r w:rsidR="0002132D" w:rsidRPr="001B628C">
        <w:rPr>
          <w:sz w:val="22"/>
          <w:szCs w:val="22"/>
        </w:rPr>
        <w:t>Ni</w:t>
      </w:r>
      <w:r w:rsidR="0002132D" w:rsidRPr="001B628C">
        <w:rPr>
          <w:sz w:val="22"/>
          <w:szCs w:val="22"/>
          <w:vertAlign w:val="subscript"/>
        </w:rPr>
        <w:t>x</w:t>
      </w:r>
      <w:r w:rsidR="0002132D" w:rsidRPr="001B628C">
        <w:rPr>
          <w:sz w:val="22"/>
          <w:szCs w:val="22"/>
        </w:rPr>
        <w:t>Fe</w:t>
      </w:r>
      <w:r w:rsidR="0002132D" w:rsidRPr="001B628C">
        <w:rPr>
          <w:sz w:val="22"/>
          <w:szCs w:val="22"/>
          <w:vertAlign w:val="subscript"/>
        </w:rPr>
        <w:t>0.2</w:t>
      </w:r>
      <w:r w:rsidR="0002132D" w:rsidRPr="001B628C">
        <w:rPr>
          <w:sz w:val="22"/>
          <w:szCs w:val="22"/>
        </w:rPr>
        <w:t>O</w:t>
      </w:r>
      <w:r w:rsidR="0002132D" w:rsidRPr="001B628C">
        <w:rPr>
          <w:sz w:val="22"/>
          <w:szCs w:val="22"/>
          <w:vertAlign w:val="subscript"/>
        </w:rPr>
        <w:t>3−δ</w:t>
      </w:r>
      <w:r w:rsidR="0002132D" w:rsidRPr="001B628C">
        <w:rPr>
          <w:sz w:val="22"/>
          <w:szCs w:val="22"/>
        </w:rPr>
        <w:t>.</w:t>
      </w:r>
    </w:p>
    <w:p w:rsidR="0002132D" w:rsidRPr="001B628C" w:rsidRDefault="0062134A" w:rsidP="0062134A">
      <w:pPr>
        <w:numPr>
          <w:ilvl w:val="0"/>
          <w:numId w:val="1"/>
        </w:numPr>
        <w:autoSpaceDE w:val="0"/>
        <w:autoSpaceDN w:val="0"/>
        <w:adjustRightInd w:val="0"/>
        <w:spacing w:line="300" w:lineRule="auto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Les propriétés texturales de</w:t>
      </w:r>
      <w:r w:rsidR="0002132D" w:rsidRPr="001B628C">
        <w:rPr>
          <w:sz w:val="22"/>
          <w:szCs w:val="22"/>
        </w:rPr>
        <w:t xml:space="preserve">s catalyseurs ont été évaluées par analyse de </w:t>
      </w:r>
      <w:r w:rsidR="00E90110">
        <w:rPr>
          <w:sz w:val="22"/>
          <w:szCs w:val="22"/>
        </w:rPr>
        <w:t>physisorption</w:t>
      </w:r>
      <w:r w:rsidR="0002132D" w:rsidRPr="001B628C">
        <w:rPr>
          <w:sz w:val="22"/>
          <w:szCs w:val="22"/>
        </w:rPr>
        <w:t xml:space="preserve"> et MEB-EDX. La surface </w:t>
      </w:r>
      <w:r>
        <w:rPr>
          <w:sz w:val="22"/>
          <w:szCs w:val="22"/>
        </w:rPr>
        <w:t>des</w:t>
      </w:r>
      <w:r w:rsidRPr="001B628C">
        <w:rPr>
          <w:sz w:val="22"/>
          <w:szCs w:val="22"/>
        </w:rPr>
        <w:t xml:space="preserve"> catalyseurs </w:t>
      </w:r>
      <w:r w:rsidR="00E90110">
        <w:rPr>
          <w:sz w:val="22"/>
          <w:szCs w:val="22"/>
        </w:rPr>
        <w:t xml:space="preserve">déterminée par la méthode </w:t>
      </w:r>
      <w:r w:rsidR="0002132D" w:rsidRPr="001B628C">
        <w:rPr>
          <w:sz w:val="22"/>
          <w:szCs w:val="22"/>
        </w:rPr>
        <w:t>BET</w:t>
      </w:r>
      <w:r w:rsidR="00E90110">
        <w:rPr>
          <w:sz w:val="22"/>
          <w:szCs w:val="22"/>
        </w:rPr>
        <w:t xml:space="preserve"> </w:t>
      </w:r>
      <w:r w:rsidR="0002132D" w:rsidRPr="001B628C">
        <w:rPr>
          <w:sz w:val="22"/>
          <w:szCs w:val="22"/>
        </w:rPr>
        <w:t xml:space="preserve">est relativement faible, mais </w:t>
      </w:r>
      <w:r>
        <w:rPr>
          <w:sz w:val="22"/>
          <w:szCs w:val="22"/>
        </w:rPr>
        <w:t xml:space="preserve">reste </w:t>
      </w:r>
      <w:r w:rsidR="0002132D" w:rsidRPr="001B628C">
        <w:rPr>
          <w:sz w:val="22"/>
          <w:szCs w:val="22"/>
        </w:rPr>
        <w:t xml:space="preserve">toujours de même ordre </w:t>
      </w:r>
      <w:r>
        <w:rPr>
          <w:sz w:val="22"/>
          <w:szCs w:val="22"/>
        </w:rPr>
        <w:t xml:space="preserve">de grandeur que les </w:t>
      </w:r>
      <w:r w:rsidR="0002132D" w:rsidRPr="001B628C">
        <w:rPr>
          <w:sz w:val="22"/>
          <w:szCs w:val="22"/>
        </w:rPr>
        <w:t xml:space="preserve">autres systèmes pérovskites. Les micrographies MEB </w:t>
      </w:r>
      <w:r>
        <w:rPr>
          <w:sz w:val="22"/>
          <w:szCs w:val="22"/>
        </w:rPr>
        <w:t>de</w:t>
      </w:r>
      <w:r w:rsidRPr="001B628C">
        <w:rPr>
          <w:sz w:val="22"/>
          <w:szCs w:val="22"/>
        </w:rPr>
        <w:t xml:space="preserve"> l’ensemb</w:t>
      </w:r>
      <w:r>
        <w:rPr>
          <w:sz w:val="22"/>
          <w:szCs w:val="22"/>
        </w:rPr>
        <w:t>le des échantillons synthétisés,</w:t>
      </w:r>
      <w:r w:rsidRPr="001B628C">
        <w:rPr>
          <w:sz w:val="22"/>
          <w:szCs w:val="22"/>
        </w:rPr>
        <w:t xml:space="preserve"> </w:t>
      </w:r>
      <w:r w:rsidR="0002132D" w:rsidRPr="001B628C">
        <w:rPr>
          <w:sz w:val="22"/>
          <w:szCs w:val="22"/>
        </w:rPr>
        <w:t xml:space="preserve">montrent </w:t>
      </w:r>
      <w:r w:rsidR="00E90110">
        <w:rPr>
          <w:sz w:val="22"/>
          <w:szCs w:val="22"/>
        </w:rPr>
        <w:t>la</w:t>
      </w:r>
      <w:r>
        <w:rPr>
          <w:sz w:val="22"/>
          <w:szCs w:val="22"/>
        </w:rPr>
        <w:t xml:space="preserve"> nature poreuse avec </w:t>
      </w:r>
      <w:r w:rsidR="0002132D" w:rsidRPr="001B628C">
        <w:rPr>
          <w:sz w:val="22"/>
          <w:szCs w:val="22"/>
        </w:rPr>
        <w:t>formation de par</w:t>
      </w:r>
      <w:r w:rsidR="00E90110">
        <w:rPr>
          <w:sz w:val="22"/>
          <w:szCs w:val="22"/>
        </w:rPr>
        <w:t xml:space="preserve">ticules de taille micrométrique </w:t>
      </w:r>
      <w:r>
        <w:rPr>
          <w:sz w:val="22"/>
          <w:szCs w:val="22"/>
        </w:rPr>
        <w:t>fortement agglomérées.</w:t>
      </w:r>
    </w:p>
    <w:p w:rsidR="0002132D" w:rsidRPr="001B628C" w:rsidRDefault="0062134A" w:rsidP="0062134A">
      <w:pPr>
        <w:numPr>
          <w:ilvl w:val="0"/>
          <w:numId w:val="1"/>
        </w:numPr>
        <w:autoSpaceDE w:val="0"/>
        <w:autoSpaceDN w:val="0"/>
        <w:adjustRightInd w:val="0"/>
        <w:spacing w:line="300" w:lineRule="auto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Le </w:t>
      </w:r>
      <w:r w:rsidR="0002132D" w:rsidRPr="001B628C">
        <w:rPr>
          <w:sz w:val="22"/>
          <w:szCs w:val="22"/>
        </w:rPr>
        <w:t>processus de réduc</w:t>
      </w:r>
      <w:r w:rsidR="00E90110">
        <w:rPr>
          <w:sz w:val="22"/>
          <w:szCs w:val="22"/>
        </w:rPr>
        <w:t>tion de</w:t>
      </w:r>
      <w:r w:rsidR="0002132D" w:rsidRPr="001B628C">
        <w:rPr>
          <w:sz w:val="22"/>
          <w:szCs w:val="22"/>
        </w:rPr>
        <w:t xml:space="preserve">s catalyseurs a montré une modification significative du comportement redox du matériau BSCF </w:t>
      </w:r>
      <w:r>
        <w:rPr>
          <w:sz w:val="22"/>
          <w:szCs w:val="22"/>
        </w:rPr>
        <w:t>dans le cas de la substitution partielle</w:t>
      </w:r>
      <w:r w:rsidR="0002132D" w:rsidRPr="001B628C">
        <w:rPr>
          <w:sz w:val="22"/>
          <w:szCs w:val="22"/>
        </w:rPr>
        <w:t xml:space="preserve"> et la substitution totale des ions </w:t>
      </w:r>
      <w:r>
        <w:rPr>
          <w:sz w:val="22"/>
          <w:szCs w:val="22"/>
        </w:rPr>
        <w:t xml:space="preserve">concernés </w:t>
      </w:r>
      <w:r w:rsidR="0002132D" w:rsidRPr="001B628C">
        <w:rPr>
          <w:sz w:val="22"/>
          <w:szCs w:val="22"/>
        </w:rPr>
        <w:t xml:space="preserve"> par </w:t>
      </w:r>
      <w:r w:rsidR="001D1351">
        <w:rPr>
          <w:sz w:val="22"/>
          <w:szCs w:val="22"/>
        </w:rPr>
        <w:t>l’</w:t>
      </w:r>
      <w:r>
        <w:rPr>
          <w:sz w:val="22"/>
          <w:szCs w:val="22"/>
        </w:rPr>
        <w:t>étude</w:t>
      </w:r>
      <w:r w:rsidR="0002132D" w:rsidRPr="001B628C">
        <w:rPr>
          <w:sz w:val="22"/>
          <w:szCs w:val="22"/>
        </w:rPr>
        <w:t>.</w:t>
      </w:r>
    </w:p>
    <w:p w:rsidR="0002132D" w:rsidRDefault="0002132D" w:rsidP="00D636F5">
      <w:pPr>
        <w:numPr>
          <w:ilvl w:val="0"/>
          <w:numId w:val="1"/>
        </w:numPr>
        <w:pBdr>
          <w:bottom w:val="single" w:sz="6" w:space="1" w:color="auto"/>
        </w:pBdr>
        <w:autoSpaceDE w:val="0"/>
        <w:autoSpaceDN w:val="0"/>
        <w:adjustRightInd w:val="0"/>
        <w:spacing w:line="300" w:lineRule="auto"/>
        <w:ind w:left="284" w:hanging="284"/>
        <w:jc w:val="both"/>
        <w:rPr>
          <w:sz w:val="22"/>
          <w:szCs w:val="22"/>
        </w:rPr>
      </w:pPr>
      <w:r w:rsidRPr="001B628C">
        <w:rPr>
          <w:sz w:val="22"/>
          <w:szCs w:val="22"/>
        </w:rPr>
        <w:t xml:space="preserve">Les performances électro-catalytiques </w:t>
      </w:r>
      <w:r w:rsidR="00D636F5">
        <w:rPr>
          <w:sz w:val="22"/>
          <w:szCs w:val="22"/>
        </w:rPr>
        <w:t>des catalyseurs, dans</w:t>
      </w:r>
      <w:r w:rsidR="0062134A" w:rsidRPr="001B628C">
        <w:rPr>
          <w:sz w:val="22"/>
          <w:szCs w:val="22"/>
        </w:rPr>
        <w:t xml:space="preserve"> la réaction d’électro-oxydation du méthanol </w:t>
      </w:r>
      <w:r w:rsidRPr="001B628C">
        <w:rPr>
          <w:sz w:val="22"/>
          <w:szCs w:val="22"/>
        </w:rPr>
        <w:t xml:space="preserve">ont été déterminées </w:t>
      </w:r>
      <w:r w:rsidR="00D636F5" w:rsidRPr="001B628C">
        <w:rPr>
          <w:sz w:val="22"/>
          <w:szCs w:val="22"/>
        </w:rPr>
        <w:t xml:space="preserve">à température ambiante </w:t>
      </w:r>
      <w:r w:rsidRPr="001B628C">
        <w:rPr>
          <w:sz w:val="22"/>
          <w:szCs w:val="22"/>
        </w:rPr>
        <w:t xml:space="preserve">par voltampérométrie cyclique (VC) et chronoampérométrie (CA) en milieu alcalin (0.5M NaOH). </w:t>
      </w:r>
      <w:r w:rsidR="00271BAC" w:rsidRPr="001B628C">
        <w:rPr>
          <w:sz w:val="22"/>
          <w:szCs w:val="22"/>
        </w:rPr>
        <w:t xml:space="preserve">La comparaison des </w:t>
      </w:r>
      <w:r w:rsidRPr="001B628C">
        <w:rPr>
          <w:sz w:val="22"/>
          <w:szCs w:val="22"/>
        </w:rPr>
        <w:t>V</w:t>
      </w:r>
      <w:r w:rsidR="00271BAC" w:rsidRPr="001B628C">
        <w:rPr>
          <w:sz w:val="22"/>
          <w:szCs w:val="22"/>
        </w:rPr>
        <w:t>C</w:t>
      </w:r>
      <w:r w:rsidRPr="001B628C">
        <w:rPr>
          <w:sz w:val="22"/>
          <w:szCs w:val="22"/>
        </w:rPr>
        <w:t xml:space="preserve"> des électrodes à base de carbone modifiée par les pérovskites</w:t>
      </w:r>
      <w:r w:rsidR="0062134A">
        <w:rPr>
          <w:sz w:val="22"/>
          <w:szCs w:val="22"/>
        </w:rPr>
        <w:t>,</w:t>
      </w:r>
      <w:r w:rsidRPr="001B628C">
        <w:rPr>
          <w:sz w:val="22"/>
          <w:szCs w:val="22"/>
        </w:rPr>
        <w:t xml:space="preserve"> montre une activité électro-catalytique remarquable vis-à-vis </w:t>
      </w:r>
      <w:r w:rsidR="0062134A">
        <w:rPr>
          <w:sz w:val="22"/>
          <w:szCs w:val="22"/>
        </w:rPr>
        <w:t xml:space="preserve">de </w:t>
      </w:r>
      <w:r w:rsidRPr="001B628C">
        <w:rPr>
          <w:sz w:val="22"/>
          <w:szCs w:val="22"/>
        </w:rPr>
        <w:t xml:space="preserve">l’oxydation du méthanol. </w:t>
      </w:r>
      <w:r w:rsidR="00DF3856" w:rsidRPr="00DF3856">
        <w:rPr>
          <w:rFonts w:asciiTheme="majorBidi" w:hAnsiTheme="majorBidi" w:cstheme="majorBidi"/>
          <w:sz w:val="22"/>
          <w:szCs w:val="22"/>
        </w:rPr>
        <w:t xml:space="preserve">Leur </w:t>
      </w:r>
      <w:r w:rsidR="00D636F5">
        <w:rPr>
          <w:rFonts w:asciiTheme="majorBidi" w:hAnsiTheme="majorBidi" w:cstheme="majorBidi"/>
          <w:sz w:val="22"/>
          <w:szCs w:val="22"/>
        </w:rPr>
        <w:t xml:space="preserve">réactivité </w:t>
      </w:r>
      <w:r w:rsidR="00DF3856" w:rsidRPr="00DF3856">
        <w:rPr>
          <w:rFonts w:asciiTheme="majorBidi" w:hAnsiTheme="majorBidi" w:cstheme="majorBidi"/>
          <w:sz w:val="22"/>
          <w:szCs w:val="22"/>
        </w:rPr>
        <w:t>peut être corrélée à leurs  propriétés de surface et à la co-présence des couples redox M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3+</w:t>
      </w:r>
      <w:r w:rsidR="00DF3856" w:rsidRPr="001D1351">
        <w:rPr>
          <w:rFonts w:asciiTheme="majorBidi" w:hAnsiTheme="majorBidi" w:cstheme="majorBidi"/>
          <w:sz w:val="22"/>
          <w:szCs w:val="22"/>
        </w:rPr>
        <w:t>/</w:t>
      </w:r>
      <w:r w:rsidR="00DF3856" w:rsidRPr="00DF3856">
        <w:rPr>
          <w:rFonts w:asciiTheme="majorBidi" w:hAnsiTheme="majorBidi" w:cstheme="majorBidi"/>
          <w:sz w:val="22"/>
          <w:szCs w:val="22"/>
        </w:rPr>
        <w:t>M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2+</w:t>
      </w:r>
      <w:r w:rsidR="00DF3856" w:rsidRPr="00DF3856">
        <w:rPr>
          <w:rFonts w:asciiTheme="majorBidi" w:hAnsiTheme="majorBidi" w:cstheme="majorBidi"/>
          <w:sz w:val="22"/>
          <w:szCs w:val="22"/>
        </w:rPr>
        <w:t xml:space="preserve"> tels que Co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4+</w:t>
      </w:r>
      <w:r w:rsidR="00DF3856" w:rsidRPr="00DF3856">
        <w:rPr>
          <w:rFonts w:asciiTheme="majorBidi" w:hAnsiTheme="majorBidi" w:cstheme="majorBidi"/>
          <w:sz w:val="22"/>
          <w:szCs w:val="22"/>
        </w:rPr>
        <w:t>/Co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3+</w:t>
      </w:r>
      <w:r w:rsidR="00DF3856" w:rsidRPr="00DF3856">
        <w:rPr>
          <w:rFonts w:asciiTheme="majorBidi" w:hAnsiTheme="majorBidi" w:cstheme="majorBidi"/>
          <w:sz w:val="22"/>
          <w:szCs w:val="22"/>
        </w:rPr>
        <w:t>, Fe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4+</w:t>
      </w:r>
      <w:r w:rsidR="00DF3856" w:rsidRPr="00DF3856">
        <w:rPr>
          <w:rFonts w:asciiTheme="majorBidi" w:hAnsiTheme="majorBidi" w:cstheme="majorBidi"/>
          <w:sz w:val="22"/>
          <w:szCs w:val="22"/>
        </w:rPr>
        <w:t>/Fe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3+</w:t>
      </w:r>
      <w:r w:rsidR="00DF3856" w:rsidRPr="00DF3856">
        <w:rPr>
          <w:rFonts w:asciiTheme="majorBidi" w:hAnsiTheme="majorBidi" w:cstheme="majorBidi"/>
          <w:sz w:val="22"/>
          <w:szCs w:val="22"/>
        </w:rPr>
        <w:t xml:space="preserve"> et Ni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>3+</w:t>
      </w:r>
      <w:r w:rsidR="00DF3856" w:rsidRPr="00DF3856">
        <w:rPr>
          <w:rFonts w:asciiTheme="majorBidi" w:hAnsiTheme="majorBidi" w:cstheme="majorBidi"/>
          <w:sz w:val="22"/>
          <w:szCs w:val="22"/>
        </w:rPr>
        <w:t>/Ni</w:t>
      </w:r>
      <w:r w:rsidR="00DF3856" w:rsidRPr="00DF3856">
        <w:rPr>
          <w:rFonts w:asciiTheme="majorBidi" w:hAnsiTheme="majorBidi" w:cstheme="majorBidi"/>
          <w:sz w:val="22"/>
          <w:szCs w:val="22"/>
          <w:vertAlign w:val="superscript"/>
        </w:rPr>
        <w:t xml:space="preserve">2+ </w:t>
      </w:r>
      <w:r w:rsidR="00DF3856" w:rsidRPr="00DF3856">
        <w:rPr>
          <w:rFonts w:asciiTheme="majorBidi" w:hAnsiTheme="majorBidi" w:cstheme="majorBidi"/>
          <w:sz w:val="22"/>
          <w:szCs w:val="22"/>
        </w:rPr>
        <w:t>dans le sous-réseau B de la pérovskite</w:t>
      </w:r>
      <w:r w:rsidR="00DF3856">
        <w:rPr>
          <w:rFonts w:asciiTheme="majorBidi" w:hAnsiTheme="majorBidi" w:cstheme="majorBidi"/>
          <w:sz w:val="22"/>
          <w:szCs w:val="22"/>
        </w:rPr>
        <w:t xml:space="preserve">. </w:t>
      </w:r>
      <w:r w:rsidRPr="001B628C">
        <w:rPr>
          <w:sz w:val="22"/>
          <w:szCs w:val="22"/>
        </w:rPr>
        <w:t>Les meille</w:t>
      </w:r>
      <w:r w:rsidR="00D636F5">
        <w:rPr>
          <w:sz w:val="22"/>
          <w:szCs w:val="22"/>
        </w:rPr>
        <w:t xml:space="preserve">urs résultats sont observés pour </w:t>
      </w:r>
      <w:r w:rsidRPr="001B628C">
        <w:rPr>
          <w:sz w:val="22"/>
          <w:szCs w:val="22"/>
        </w:rPr>
        <w:t xml:space="preserve">le catalyseur </w:t>
      </w:r>
      <w:r w:rsidRPr="001B628C">
        <w:rPr>
          <w:color w:val="000000"/>
          <w:sz w:val="22"/>
          <w:szCs w:val="22"/>
        </w:rPr>
        <w:t>Ba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Sr</w:t>
      </w:r>
      <w:r w:rsidRPr="001B628C">
        <w:rPr>
          <w:color w:val="000000"/>
          <w:sz w:val="22"/>
          <w:szCs w:val="22"/>
          <w:vertAlign w:val="subscript"/>
        </w:rPr>
        <w:t>0.5</w:t>
      </w:r>
      <w:r w:rsidRPr="001B628C">
        <w:rPr>
          <w:color w:val="000000"/>
          <w:sz w:val="22"/>
          <w:szCs w:val="22"/>
        </w:rPr>
        <w:t>Ni</w:t>
      </w:r>
      <w:r w:rsidRPr="001B628C">
        <w:rPr>
          <w:color w:val="000000"/>
          <w:sz w:val="22"/>
          <w:szCs w:val="22"/>
          <w:vertAlign w:val="subscript"/>
        </w:rPr>
        <w:t>0.2</w:t>
      </w:r>
      <w:r w:rsidRPr="001B628C">
        <w:rPr>
          <w:rFonts w:eastAsia="Calibri"/>
          <w:color w:val="000000"/>
          <w:sz w:val="22"/>
          <w:szCs w:val="22"/>
        </w:rPr>
        <w:t>Co</w:t>
      </w:r>
      <w:r w:rsidRPr="001B628C">
        <w:rPr>
          <w:rFonts w:eastAsia="Calibri"/>
          <w:color w:val="000000"/>
          <w:sz w:val="22"/>
          <w:szCs w:val="22"/>
          <w:vertAlign w:val="subscript"/>
        </w:rPr>
        <w:t>0.6</w:t>
      </w:r>
      <w:r w:rsidRPr="001B628C">
        <w:rPr>
          <w:rFonts w:eastAsia="Calibri"/>
          <w:color w:val="000000"/>
          <w:sz w:val="22"/>
          <w:szCs w:val="22"/>
        </w:rPr>
        <w:t>Fe</w:t>
      </w:r>
      <w:r w:rsidRPr="001B628C">
        <w:rPr>
          <w:rFonts w:eastAsia="Calibri"/>
          <w:color w:val="000000"/>
          <w:sz w:val="22"/>
          <w:szCs w:val="22"/>
          <w:vertAlign w:val="subscript"/>
        </w:rPr>
        <w:t>0.2</w:t>
      </w:r>
      <w:r w:rsidRPr="001B628C">
        <w:rPr>
          <w:rFonts w:eastAsia="Calibri"/>
          <w:color w:val="000000"/>
          <w:sz w:val="22"/>
          <w:szCs w:val="22"/>
        </w:rPr>
        <w:t>O</w:t>
      </w:r>
      <w:r w:rsidRPr="001B628C">
        <w:rPr>
          <w:rFonts w:eastAsia="Calibri"/>
          <w:color w:val="000000"/>
          <w:sz w:val="22"/>
          <w:szCs w:val="22"/>
          <w:vertAlign w:val="subscript"/>
        </w:rPr>
        <w:t>3-</w:t>
      </w:r>
      <w:r w:rsidRPr="001B628C">
        <w:rPr>
          <w:rFonts w:eastAsia="Calibri"/>
          <w:color w:val="000000"/>
          <w:sz w:val="22"/>
          <w:szCs w:val="22"/>
          <w:vertAlign w:val="subscript"/>
        </w:rPr>
        <w:sym w:font="Symbol" w:char="F064"/>
      </w:r>
      <w:r w:rsidR="0037017A">
        <w:rPr>
          <w:rFonts w:eastAsia="Calibri"/>
          <w:color w:val="000000"/>
          <w:sz w:val="22"/>
          <w:szCs w:val="22"/>
        </w:rPr>
        <w:t xml:space="preserve">. </w:t>
      </w:r>
      <w:r w:rsidR="00D636F5">
        <w:rPr>
          <w:rFonts w:asciiTheme="majorBidi" w:hAnsiTheme="majorBidi" w:cstheme="majorBidi"/>
        </w:rPr>
        <w:t xml:space="preserve">Ceci est </w:t>
      </w:r>
      <w:r w:rsidR="00CB5746">
        <w:rPr>
          <w:rFonts w:asciiTheme="majorBidi" w:hAnsiTheme="majorBidi" w:cstheme="majorBidi"/>
        </w:rPr>
        <w:t xml:space="preserve">probablement </w:t>
      </w:r>
      <w:r w:rsidR="00CB5746" w:rsidRPr="00AB6F85">
        <w:rPr>
          <w:rFonts w:asciiTheme="majorBidi" w:hAnsiTheme="majorBidi" w:cstheme="majorBidi"/>
        </w:rPr>
        <w:t>due</w:t>
      </w:r>
      <w:r w:rsidR="0037017A" w:rsidRPr="00AB6F85">
        <w:rPr>
          <w:rFonts w:asciiTheme="majorBidi" w:hAnsiTheme="majorBidi" w:cstheme="majorBidi"/>
        </w:rPr>
        <w:t xml:space="preserve"> à la présence du nickel qui est connu pour ses </w:t>
      </w:r>
      <w:r w:rsidR="00D636F5" w:rsidRPr="00AB6F85">
        <w:rPr>
          <w:rFonts w:asciiTheme="majorBidi" w:hAnsiTheme="majorBidi" w:cstheme="majorBidi"/>
        </w:rPr>
        <w:t xml:space="preserve">remarquables </w:t>
      </w:r>
      <w:r w:rsidR="0037017A" w:rsidRPr="00AB6F85">
        <w:rPr>
          <w:rFonts w:asciiTheme="majorBidi" w:hAnsiTheme="majorBidi" w:cstheme="majorBidi"/>
        </w:rPr>
        <w:t>propriétés électro-catalytiques.</w:t>
      </w:r>
    </w:p>
    <w:sectPr w:rsidR="0002132D" w:rsidSect="00D80E2B">
      <w:pgSz w:w="11906" w:h="16838"/>
      <w:pgMar w:top="851" w:right="851" w:bottom="851" w:left="1134" w:header="709" w:footer="709" w:gutter="284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C6192"/>
    <w:multiLevelType w:val="hybridMultilevel"/>
    <w:tmpl w:val="A81E37EE"/>
    <w:lvl w:ilvl="0" w:tplc="FA368088">
      <w:start w:val="1"/>
      <w:numFmt w:val="decimal"/>
      <w:lvlText w:val="%1."/>
      <w:lvlJc w:val="left"/>
      <w:pPr>
        <w:ind w:left="720" w:hanging="360"/>
      </w:pPr>
      <w:rPr>
        <w:b/>
        <w:bCs/>
        <w:sz w:val="18"/>
        <w:szCs w:val="1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2132D"/>
    <w:rsid w:val="000131CA"/>
    <w:rsid w:val="0001385E"/>
    <w:rsid w:val="0002132D"/>
    <w:rsid w:val="000B44A2"/>
    <w:rsid w:val="000F76D3"/>
    <w:rsid w:val="0018780A"/>
    <w:rsid w:val="001B5DD6"/>
    <w:rsid w:val="001B628C"/>
    <w:rsid w:val="001D1351"/>
    <w:rsid w:val="00243309"/>
    <w:rsid w:val="00252E69"/>
    <w:rsid w:val="00257D01"/>
    <w:rsid w:val="00271BAC"/>
    <w:rsid w:val="0037017A"/>
    <w:rsid w:val="00395E8E"/>
    <w:rsid w:val="003C6F33"/>
    <w:rsid w:val="004326F7"/>
    <w:rsid w:val="004A4616"/>
    <w:rsid w:val="004B76D4"/>
    <w:rsid w:val="005371CE"/>
    <w:rsid w:val="00597018"/>
    <w:rsid w:val="005B7104"/>
    <w:rsid w:val="005E65E5"/>
    <w:rsid w:val="0062134A"/>
    <w:rsid w:val="0073191D"/>
    <w:rsid w:val="00742ED8"/>
    <w:rsid w:val="00777C32"/>
    <w:rsid w:val="007C3B6D"/>
    <w:rsid w:val="0084782D"/>
    <w:rsid w:val="008C283C"/>
    <w:rsid w:val="008E13EA"/>
    <w:rsid w:val="00902E4C"/>
    <w:rsid w:val="00946DE6"/>
    <w:rsid w:val="00965DE6"/>
    <w:rsid w:val="00976B68"/>
    <w:rsid w:val="00993202"/>
    <w:rsid w:val="009A7C7A"/>
    <w:rsid w:val="00A070B5"/>
    <w:rsid w:val="00A23AF9"/>
    <w:rsid w:val="00A37D45"/>
    <w:rsid w:val="00AD1303"/>
    <w:rsid w:val="00B11435"/>
    <w:rsid w:val="00B97AFA"/>
    <w:rsid w:val="00BA3658"/>
    <w:rsid w:val="00BA3C35"/>
    <w:rsid w:val="00BB23A7"/>
    <w:rsid w:val="00BC3887"/>
    <w:rsid w:val="00C24F26"/>
    <w:rsid w:val="00C31F53"/>
    <w:rsid w:val="00C77BD9"/>
    <w:rsid w:val="00CB09B6"/>
    <w:rsid w:val="00CB5746"/>
    <w:rsid w:val="00CD45BA"/>
    <w:rsid w:val="00D636F5"/>
    <w:rsid w:val="00D80E2B"/>
    <w:rsid w:val="00DF3856"/>
    <w:rsid w:val="00DF746E"/>
    <w:rsid w:val="00E11244"/>
    <w:rsid w:val="00E258E5"/>
    <w:rsid w:val="00E82539"/>
    <w:rsid w:val="00E90110"/>
    <w:rsid w:val="00EE047C"/>
    <w:rsid w:val="00F5432A"/>
    <w:rsid w:val="00F81BC9"/>
    <w:rsid w:val="00F9457C"/>
    <w:rsid w:val="00FB71B2"/>
    <w:rsid w:val="00FE69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13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rsid w:val="0002132D"/>
    <w:pPr>
      <w:jc w:val="center"/>
    </w:pPr>
    <w:rPr>
      <w:b/>
      <w:bCs/>
      <w:i/>
      <w:iCs/>
      <w:caps/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rsid w:val="0002132D"/>
    <w:rPr>
      <w:rFonts w:ascii="Times New Roman" w:eastAsia="Times New Roman" w:hAnsi="Times New Roman" w:cs="Times New Roman"/>
      <w:b/>
      <w:bCs/>
      <w:i/>
      <w:iCs/>
      <w:caps/>
      <w:sz w:val="26"/>
      <w:szCs w:val="2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0FDC49-9CB3-456C-8565-3493B969F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553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b-13</cp:lastModifiedBy>
  <cp:revision>17</cp:revision>
  <dcterms:created xsi:type="dcterms:W3CDTF">2018-12-20T07:58:00Z</dcterms:created>
  <dcterms:modified xsi:type="dcterms:W3CDTF">2019-11-24T22:16:00Z</dcterms:modified>
</cp:coreProperties>
</file>