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63" w:rsidRPr="005403BA" w:rsidRDefault="005403BA" w:rsidP="005403BA">
      <w:r w:rsidRPr="005403BA">
        <w:t>L'approche thématique de cette recherche est à la fois clinique et biologique chez le patient hypertendu algérien. Dans cette étude, il apparaît que l'HTA d'origine métabolique dite secondaire est plus dominante que l'HTA d'origine vasculaire dite essentielle. L'HTA est plus fréquente entre 35 et 55 ans et que le diabète de type 2 (DT2) et l'obésité sont les deux affections majeures qui se greffent à l'HTA (65%). La probabilité d'incidence de survenue d'une hypertension chez un diabétique ou un diabète chez un hypertendu est la même. Une constellation de facteurs de risques sont partagés entre HTA et DT2, particulièrement les marqueurs du SM. Les patients hypertendus sont caractérisés par une PAS &gt; 140 mmHg et une PAD &gt; 90 mmHg. Il a été identifié 24 HTA avec SM (59%) et 17 HTA sans SM (41%). Chez les hypertendus avec SM, le tour de taille et l'IMC mettent en évidence un état d'insulinorésistance aigue (&gt; 90 cm et 30 kg/m2). Malgré que ces patients ne montrent pas un hyperinsulinisme (insuline à jeun : 10 -14 UI/ml), cet état d'insulinorésistance est confirmé par le model HOMA qui est largement &gt; à 2,25. Toutefois, le diabète de type 2 est greffé à l'HTA (glycémie à jeun &gt; 1,50 g/l et HbA1c &gt; 6,2%) dans 32% des cas et sans HTA dans 2% des cas. Les dyslipidémies n'ont été observées qu'avec les triglycérides (&gt; 1,3g/l) et non avec le cholestérol (&lt; 2g/l). La lipoprotéine (a) est légèrement augmentée (0,39 g/l). Cette dernière est néanmoins fortement élevée chez les sujets à SM sans HTA (0, 60 g/l) ; ce qui semble montrer que la Lp(a) est un facteur indépendant à l'HTA. En revanche, le facteur homocystéine est corrélé positivement à l'HTA, avec ou sans SM (10-13 µM/l). L'hyperglycémie et les dyslipidémies conduisent à une gluco-lipotoxicité chez le patient hypertendu diabétique. Cette état d'agression d'origine métabolique est quasi-présent chez tous les sujets à SM avec ou sans HTA, confirmé par les taux élevés de CRP (7-8 mg/l). Cette toxicité métabolique conduit à sont tour à un stress oxydant. En effet, si on explore le statut des oligo-élements antioxydants, il se dégage que les patients hypertendus avec ou sans SM, sont déplétés principalement en sélénium. Les autres minéraux ne sont pas affectés, parfois augmentés, mis en évidence par le rapport Cu/Zn élevé. Conclusion : Sur le plan étiopathologique, il ressort de cette étude que l'HTA est associée le plus souvent à l'état d'insulinorésistance (cause primitive ?), caractérisé par le SM. Ce dernier semble affecter profondément l'état hémodynamique des vaisseaux où l'homéostasie de la pression artérielle est rarement atteinte. Parmi les causes insidieuses, le stress oxydatif peut être retenu, à la vue de la déplétion en oligoéléments anti-oxydants (sélénium dans notre étude) et en conséquence une diminution d'activité de la glutathion peroxydase. Toutefois, chez l'hypertendu, la défense anti-radicalaire se montre sélective, car les autres minéraux impliqués semblent être très sollicités et augmentés, ce qui implique la présence d'un stress oxydant particulier lié à l'état vasculaire, soit de conductance (réseau aortique) ou de résistance (artères mésentériques). Cette étude nécessite d'autres investigations pour confirmer l'état du stress oxydant dans l'HTA, mais il apparaît que l'évaluation systématique ou non de la défense anti-radicalaire d'origine minérale semble se confirmer lorsqu'elle est corrélée aux autres facteurs de risque cardio-vasculaires.</w:t>
      </w:r>
    </w:p>
    <w:sectPr w:rsidR="00FC3963" w:rsidRPr="005403BA" w:rsidSect="00FC396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5403BA"/>
    <w:rsid w:val="005403BA"/>
    <w:rsid w:val="00FC396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396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533</Words>
  <Characters>2936</Characters>
  <Application>Microsoft Office Word</Application>
  <DocSecurity>0</DocSecurity>
  <Lines>24</Lines>
  <Paragraphs>6</Paragraphs>
  <ScaleCrop>false</ScaleCrop>
  <Company/>
  <LinksUpToDate>false</LinksUpToDate>
  <CharactersWithSpaces>3463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2015-05-27T08:56:00Z</dcterms:created>
  <dcterms:modified xsi:type="dcterms:W3CDTF">2015-05-27T08:56:00Z</dcterms:modified>
</cp:coreProperties>
</file>