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E3D" w:rsidRPr="004C2D26" w:rsidRDefault="00792E3D" w:rsidP="002B5C2E">
      <w:pPr>
        <w:spacing w:after="120"/>
        <w:rPr>
          <w:b/>
          <w:bCs/>
          <w:i/>
          <w:iCs/>
        </w:rPr>
      </w:pPr>
      <w:r w:rsidRPr="004C2D26">
        <w:rPr>
          <w:b/>
          <w:bCs/>
          <w:i/>
          <w:iCs/>
        </w:rPr>
        <w:t>RESUME</w:t>
      </w:r>
    </w:p>
    <w:p w:rsidR="006820F2" w:rsidRDefault="004C2D26" w:rsidP="004C2D26">
      <w:pPr>
        <w:spacing w:line="276" w:lineRule="auto"/>
        <w:jc w:val="both"/>
        <w:rPr>
          <w:bCs/>
        </w:rPr>
      </w:pPr>
      <w:r>
        <w:rPr>
          <w:bCs/>
        </w:rPr>
        <w:t xml:space="preserve"> </w:t>
      </w:r>
      <w:r w:rsidR="006820F2" w:rsidRPr="004C2D26">
        <w:rPr>
          <w:bCs/>
        </w:rPr>
        <w:t xml:space="preserve">Ce travail est une contribution à la connaissance du manteau lithosphérique </w:t>
      </w:r>
      <w:r>
        <w:rPr>
          <w:bCs/>
        </w:rPr>
        <w:t>sous le</w:t>
      </w:r>
      <w:r w:rsidR="006820F2" w:rsidRPr="004C2D26">
        <w:rPr>
          <w:bCs/>
        </w:rPr>
        <w:t xml:space="preserve"> Hoggar, à travers l’étude des </w:t>
      </w:r>
      <w:r w:rsidR="007F65B6" w:rsidRPr="004C2D26">
        <w:rPr>
          <w:bCs/>
        </w:rPr>
        <w:t xml:space="preserve">laves et des </w:t>
      </w:r>
      <w:r w:rsidR="006820F2" w:rsidRPr="004C2D26">
        <w:rPr>
          <w:bCs/>
        </w:rPr>
        <w:t xml:space="preserve">xénolites éjectés par les </w:t>
      </w:r>
      <w:r w:rsidR="007F65B6" w:rsidRPr="004C2D26">
        <w:rPr>
          <w:bCs/>
        </w:rPr>
        <w:t>volcans</w:t>
      </w:r>
      <w:r w:rsidR="006820F2" w:rsidRPr="004C2D26">
        <w:rPr>
          <w:bCs/>
        </w:rPr>
        <w:t xml:space="preserve"> des deux </w:t>
      </w:r>
      <w:r>
        <w:rPr>
          <w:bCs/>
        </w:rPr>
        <w:t>districts</w:t>
      </w:r>
      <w:r w:rsidR="006820F2" w:rsidRPr="004C2D26">
        <w:rPr>
          <w:bCs/>
        </w:rPr>
        <w:t xml:space="preserve"> volcaniques de l</w:t>
      </w:r>
      <w:r w:rsidR="007F65B6" w:rsidRPr="004C2D26">
        <w:rPr>
          <w:bCs/>
        </w:rPr>
        <w:t>’Adrar n’Ajjer et d’In-</w:t>
      </w:r>
      <w:proofErr w:type="spellStart"/>
      <w:r w:rsidR="007F65B6" w:rsidRPr="004C2D26">
        <w:rPr>
          <w:bCs/>
        </w:rPr>
        <w:t>Ezzane</w:t>
      </w:r>
      <w:proofErr w:type="spellEnd"/>
      <w:r w:rsidR="007F65B6" w:rsidRPr="004C2D26">
        <w:rPr>
          <w:bCs/>
        </w:rPr>
        <w:t xml:space="preserve">. </w:t>
      </w:r>
    </w:p>
    <w:p w:rsidR="00523992" w:rsidRPr="004C2D26" w:rsidRDefault="00523992" w:rsidP="004C2D26">
      <w:pPr>
        <w:spacing w:line="276" w:lineRule="auto"/>
        <w:jc w:val="both"/>
        <w:rPr>
          <w:bCs/>
        </w:rPr>
      </w:pPr>
    </w:p>
    <w:p w:rsidR="006820F2" w:rsidRPr="004C2D26" w:rsidRDefault="006820F2" w:rsidP="00515BE3">
      <w:pPr>
        <w:spacing w:line="276" w:lineRule="auto"/>
        <w:jc w:val="both"/>
        <w:rPr>
          <w:bCs/>
        </w:rPr>
      </w:pPr>
      <w:r w:rsidRPr="004C2D26">
        <w:rPr>
          <w:bCs/>
        </w:rPr>
        <w:t xml:space="preserve">        I / Le Massif de l’Adrar n’Ajjer (environ 2500 km</w:t>
      </w:r>
      <w:r w:rsidRPr="004C2D26">
        <w:rPr>
          <w:bCs/>
          <w:vertAlign w:val="superscript"/>
        </w:rPr>
        <w:t>2</w:t>
      </w:r>
      <w:r w:rsidRPr="004C2D26">
        <w:rPr>
          <w:bCs/>
        </w:rPr>
        <w:t xml:space="preserve">) est d’âge </w:t>
      </w:r>
      <w:proofErr w:type="spellStart"/>
      <w:r w:rsidRPr="004C2D26">
        <w:rPr>
          <w:bCs/>
        </w:rPr>
        <w:t>plio</w:t>
      </w:r>
      <w:proofErr w:type="spellEnd"/>
      <w:r w:rsidRPr="004C2D26">
        <w:rPr>
          <w:bCs/>
        </w:rPr>
        <w:t xml:space="preserve">-quaternaire. C’est l’un des huit districts volcaniques cénozoïques du bouclier Touareg et il est situé à environ 400 km au NNE de la ville de Tamanrasset. Les laves émises sont toutes basaltiques, d’affinité alcaline </w:t>
      </w:r>
      <w:r w:rsidR="002B5C2E" w:rsidRPr="004C2D26">
        <w:rPr>
          <w:bCs/>
        </w:rPr>
        <w:t>de</w:t>
      </w:r>
      <w:r w:rsidRPr="004C2D26">
        <w:rPr>
          <w:bCs/>
        </w:rPr>
        <w:t xml:space="preserve"> type </w:t>
      </w:r>
      <w:r w:rsidR="002B5C2E" w:rsidRPr="004C2D26">
        <w:rPr>
          <w:bCs/>
        </w:rPr>
        <w:t xml:space="preserve">basanite et </w:t>
      </w:r>
      <w:proofErr w:type="spellStart"/>
      <w:r w:rsidR="002B5C2E" w:rsidRPr="004C2D26">
        <w:rPr>
          <w:bCs/>
        </w:rPr>
        <w:t>néphélinite</w:t>
      </w:r>
      <w:proofErr w:type="spellEnd"/>
      <w:r w:rsidRPr="004C2D26">
        <w:rPr>
          <w:bCs/>
        </w:rPr>
        <w:t xml:space="preserve">. Certaines </w:t>
      </w:r>
      <w:r w:rsidR="002B5C2E" w:rsidRPr="004C2D26">
        <w:rPr>
          <w:bCs/>
        </w:rPr>
        <w:t>d’entre elles</w:t>
      </w:r>
      <w:r w:rsidRPr="004C2D26">
        <w:rPr>
          <w:bCs/>
        </w:rPr>
        <w:t xml:space="preserve"> sont riches en enclaves mantelliques (péridotites et </w:t>
      </w:r>
      <w:proofErr w:type="spellStart"/>
      <w:r w:rsidRPr="004C2D26">
        <w:rPr>
          <w:bCs/>
        </w:rPr>
        <w:t>pyroxénites</w:t>
      </w:r>
      <w:proofErr w:type="spellEnd"/>
      <w:r w:rsidRPr="004C2D26">
        <w:rPr>
          <w:bCs/>
        </w:rPr>
        <w:t>). Les laves montrent des teneurs en éléments traces assez  variées</w:t>
      </w:r>
      <w:r w:rsidR="002B5C2E" w:rsidRPr="004C2D26">
        <w:rPr>
          <w:bCs/>
        </w:rPr>
        <w:t xml:space="preserve">, </w:t>
      </w:r>
      <w:r w:rsidRPr="004C2D26">
        <w:rPr>
          <w:bCs/>
        </w:rPr>
        <w:t>typique des basaltes alcalins liés à des sources mantellique</w:t>
      </w:r>
      <w:r w:rsidR="00A31136" w:rsidRPr="004C2D26">
        <w:rPr>
          <w:bCs/>
        </w:rPr>
        <w:t>s</w:t>
      </w:r>
      <w:r w:rsidRPr="004C2D26">
        <w:rPr>
          <w:bCs/>
        </w:rPr>
        <w:t xml:space="preserve"> de typ</w:t>
      </w:r>
      <w:r w:rsidR="00515BE3" w:rsidRPr="004C2D26">
        <w:rPr>
          <w:bCs/>
        </w:rPr>
        <w:t>e OIB enrichi.</w:t>
      </w:r>
    </w:p>
    <w:p w:rsidR="006820F2" w:rsidRPr="004C2D26" w:rsidRDefault="006820F2" w:rsidP="00265213">
      <w:pPr>
        <w:spacing w:line="276" w:lineRule="auto"/>
        <w:jc w:val="both"/>
        <w:rPr>
          <w:bCs/>
        </w:rPr>
      </w:pPr>
      <w:r w:rsidRPr="004C2D26">
        <w:rPr>
          <w:bCs/>
        </w:rPr>
        <w:t>Le Massif de L’Adrar n’Ajjer a livré quatre gisements de xénolites de grande taille: on</w:t>
      </w:r>
      <w:r w:rsidR="00265213" w:rsidRPr="004C2D26">
        <w:rPr>
          <w:bCs/>
        </w:rPr>
        <w:t xml:space="preserve"> y</w:t>
      </w:r>
      <w:r w:rsidRPr="004C2D26">
        <w:rPr>
          <w:bCs/>
        </w:rPr>
        <w:t xml:space="preserve"> distingue </w:t>
      </w:r>
      <w:r w:rsidR="002B5C2E" w:rsidRPr="004C2D26">
        <w:rPr>
          <w:bCs/>
        </w:rPr>
        <w:t xml:space="preserve">essentiellement des </w:t>
      </w:r>
      <w:proofErr w:type="spellStart"/>
      <w:r w:rsidR="002B5C2E" w:rsidRPr="004C2D26">
        <w:rPr>
          <w:bCs/>
        </w:rPr>
        <w:t>lherzolites</w:t>
      </w:r>
      <w:proofErr w:type="spellEnd"/>
      <w:r w:rsidR="002B5C2E" w:rsidRPr="004C2D26">
        <w:rPr>
          <w:bCs/>
        </w:rPr>
        <w:t xml:space="preserve"> et </w:t>
      </w:r>
      <w:r w:rsidRPr="004C2D26">
        <w:rPr>
          <w:bCs/>
        </w:rPr>
        <w:t xml:space="preserve">des </w:t>
      </w:r>
      <w:proofErr w:type="spellStart"/>
      <w:r w:rsidRPr="004C2D26">
        <w:rPr>
          <w:bCs/>
        </w:rPr>
        <w:t>harzburgites</w:t>
      </w:r>
      <w:proofErr w:type="spellEnd"/>
      <w:r w:rsidRPr="004C2D26">
        <w:rPr>
          <w:bCs/>
        </w:rPr>
        <w:t xml:space="preserve">. Toutes ces péridotites sont équilibrées dans le faciès à spinelle, ce qui leur confère une profondeur d’origine moyenne (&lt; 75Km). </w:t>
      </w:r>
    </w:p>
    <w:p w:rsidR="006820F2" w:rsidRPr="004C2D26" w:rsidRDefault="006820F2" w:rsidP="004C2D26">
      <w:pPr>
        <w:spacing w:line="276" w:lineRule="auto"/>
        <w:jc w:val="both"/>
        <w:rPr>
          <w:bCs/>
        </w:rPr>
      </w:pPr>
      <w:r w:rsidRPr="004C2D26">
        <w:rPr>
          <w:bCs/>
        </w:rPr>
        <w:t>L’étude thermométrique révèle que les températures d’équilibration dans les péridotites de</w:t>
      </w:r>
      <w:r w:rsidR="000247A4" w:rsidRPr="004C2D26">
        <w:rPr>
          <w:bCs/>
        </w:rPr>
        <w:t xml:space="preserve">s </w:t>
      </w:r>
      <w:r w:rsidR="004C2D26">
        <w:rPr>
          <w:bCs/>
        </w:rPr>
        <w:t>3</w:t>
      </w:r>
      <w:r w:rsidR="000247A4" w:rsidRPr="004C2D26">
        <w:rPr>
          <w:bCs/>
        </w:rPr>
        <w:t xml:space="preserve"> gisements</w:t>
      </w:r>
      <w:r w:rsidRPr="004C2D26">
        <w:rPr>
          <w:bCs/>
        </w:rPr>
        <w:t xml:space="preserve"> </w:t>
      </w:r>
      <w:r w:rsidR="00F4794A" w:rsidRPr="004C2D26">
        <w:rPr>
          <w:bCs/>
        </w:rPr>
        <w:t>(</w:t>
      </w:r>
      <w:r w:rsidRPr="004C2D26">
        <w:rPr>
          <w:bCs/>
        </w:rPr>
        <w:t>O</w:t>
      </w:r>
      <w:r w:rsidR="007F65B6" w:rsidRPr="004C2D26">
        <w:rPr>
          <w:bCs/>
        </w:rPr>
        <w:t xml:space="preserve">ued </w:t>
      </w:r>
      <w:proofErr w:type="spellStart"/>
      <w:r w:rsidR="000247A4" w:rsidRPr="004C2D26">
        <w:rPr>
          <w:bCs/>
        </w:rPr>
        <w:t>Affèn</w:t>
      </w:r>
      <w:proofErr w:type="spellEnd"/>
      <w:r w:rsidR="000247A4" w:rsidRPr="004C2D26">
        <w:rPr>
          <w:bCs/>
        </w:rPr>
        <w:t xml:space="preserve">, </w:t>
      </w:r>
      <w:proofErr w:type="spellStart"/>
      <w:r w:rsidRPr="004C2D26">
        <w:rPr>
          <w:bCs/>
        </w:rPr>
        <w:t>Imesserdjène</w:t>
      </w:r>
      <w:proofErr w:type="spellEnd"/>
      <w:r w:rsidR="000247A4" w:rsidRPr="004C2D26">
        <w:rPr>
          <w:bCs/>
        </w:rPr>
        <w:t xml:space="preserve"> et </w:t>
      </w:r>
      <w:proofErr w:type="spellStart"/>
      <w:r w:rsidR="000247A4" w:rsidRPr="004C2D26">
        <w:rPr>
          <w:bCs/>
        </w:rPr>
        <w:t>Tamenzest</w:t>
      </w:r>
      <w:proofErr w:type="spellEnd"/>
      <w:r w:rsidR="00F4794A" w:rsidRPr="004C2D26">
        <w:rPr>
          <w:bCs/>
        </w:rPr>
        <w:t>)</w:t>
      </w:r>
      <w:r w:rsidRPr="004C2D26">
        <w:rPr>
          <w:bCs/>
        </w:rPr>
        <w:t xml:space="preserve"> sont </w:t>
      </w:r>
      <w:r w:rsidR="00F4794A" w:rsidRPr="004C2D26">
        <w:rPr>
          <w:bCs/>
        </w:rPr>
        <w:t>moyennes à basses</w:t>
      </w:r>
      <w:r w:rsidR="007F65B6" w:rsidRPr="004C2D26">
        <w:rPr>
          <w:bCs/>
        </w:rPr>
        <w:t xml:space="preserve">. Quant aux péridotites de l’Oued </w:t>
      </w:r>
      <w:proofErr w:type="spellStart"/>
      <w:r w:rsidRPr="004C2D26">
        <w:rPr>
          <w:bCs/>
        </w:rPr>
        <w:t>Iffadène</w:t>
      </w:r>
      <w:proofErr w:type="spellEnd"/>
      <w:r w:rsidRPr="004C2D26">
        <w:rPr>
          <w:bCs/>
        </w:rPr>
        <w:t>, leurs très hautes température</w:t>
      </w:r>
      <w:r w:rsidR="007F65B6" w:rsidRPr="004C2D26">
        <w:rPr>
          <w:bCs/>
        </w:rPr>
        <w:t>s d’équilibration (&gt;1100°C),</w:t>
      </w:r>
      <w:r w:rsidRPr="004C2D26">
        <w:rPr>
          <w:bCs/>
        </w:rPr>
        <w:t xml:space="preserve"> parfaitement en accord avec leur type textural </w:t>
      </w:r>
      <w:proofErr w:type="spellStart"/>
      <w:r w:rsidRPr="004C2D26">
        <w:rPr>
          <w:bCs/>
        </w:rPr>
        <w:t>poeciloblastiques</w:t>
      </w:r>
      <w:proofErr w:type="spellEnd"/>
      <w:r w:rsidRPr="004C2D26">
        <w:rPr>
          <w:bCs/>
        </w:rPr>
        <w:t xml:space="preserve"> attribuées à la rééquilibration des roches lors de la percolation de fluides (basaltiques ?) de haute température. L’Adrar n’Ajjer pourrait être situé à l’aplomb d’une zone fortement </w:t>
      </w:r>
      <w:proofErr w:type="spellStart"/>
      <w:r w:rsidRPr="004C2D26">
        <w:rPr>
          <w:bCs/>
        </w:rPr>
        <w:t>distensive</w:t>
      </w:r>
      <w:proofErr w:type="spellEnd"/>
      <w:r w:rsidRPr="004C2D26">
        <w:rPr>
          <w:bCs/>
        </w:rPr>
        <w:t xml:space="preserve"> par rapport au reste du Hoggar. </w:t>
      </w:r>
    </w:p>
    <w:p w:rsidR="006820F2" w:rsidRPr="004C2D26" w:rsidRDefault="006820F2" w:rsidP="00515BE3">
      <w:pPr>
        <w:spacing w:line="276" w:lineRule="auto"/>
        <w:jc w:val="both"/>
        <w:rPr>
          <w:bCs/>
        </w:rPr>
      </w:pPr>
      <w:r w:rsidRPr="004C2D26">
        <w:rPr>
          <w:bCs/>
        </w:rPr>
        <w:t xml:space="preserve">Les spectres de terres rares des péridotites sont </w:t>
      </w:r>
      <w:r w:rsidR="00F4794A" w:rsidRPr="004C2D26">
        <w:rPr>
          <w:bCs/>
        </w:rPr>
        <w:t xml:space="preserve">très </w:t>
      </w:r>
      <w:r w:rsidRPr="004C2D26">
        <w:rPr>
          <w:bCs/>
        </w:rPr>
        <w:t>varié</w:t>
      </w:r>
      <w:r w:rsidR="007F65B6" w:rsidRPr="004C2D26">
        <w:rPr>
          <w:bCs/>
        </w:rPr>
        <w:t>e</w:t>
      </w:r>
      <w:r w:rsidRPr="004C2D26">
        <w:rPr>
          <w:bCs/>
        </w:rPr>
        <w:t>s avec un fractionnement très important depuis des termes déprimés en LREE  jusqu’à des termes enrichis. Les variations fortes des rapports (La/</w:t>
      </w:r>
      <w:proofErr w:type="spellStart"/>
      <w:r w:rsidRPr="004C2D26">
        <w:rPr>
          <w:bCs/>
        </w:rPr>
        <w:t>Sm</w:t>
      </w:r>
      <w:proofErr w:type="spellEnd"/>
      <w:proofErr w:type="gramStart"/>
      <w:r w:rsidRPr="004C2D26">
        <w:rPr>
          <w:bCs/>
        </w:rPr>
        <w:t>)</w:t>
      </w:r>
      <w:r w:rsidRPr="004C2D26">
        <w:rPr>
          <w:bCs/>
          <w:vertAlign w:val="subscript"/>
        </w:rPr>
        <w:t>N</w:t>
      </w:r>
      <w:proofErr w:type="gramEnd"/>
      <w:r w:rsidRPr="004C2D26">
        <w:rPr>
          <w:bCs/>
        </w:rPr>
        <w:t xml:space="preserve"> pour des compositions en HREE homogène s’interprètent en termes de </w:t>
      </w:r>
      <w:r w:rsidR="00F4794A" w:rsidRPr="004C2D26">
        <w:rPr>
          <w:bCs/>
        </w:rPr>
        <w:t>fu</w:t>
      </w:r>
      <w:r w:rsidR="00515BE3" w:rsidRPr="004C2D26">
        <w:rPr>
          <w:bCs/>
        </w:rPr>
        <w:t xml:space="preserve">sion partielle à taux variable. Induisant une hétérogénéité du manteau observée à l’échelle d’un même gisement. </w:t>
      </w:r>
    </w:p>
    <w:p w:rsidR="006820F2" w:rsidRPr="004C2D26" w:rsidRDefault="006820F2" w:rsidP="006820F2">
      <w:pPr>
        <w:spacing w:line="276" w:lineRule="auto"/>
        <w:jc w:val="both"/>
        <w:rPr>
          <w:bCs/>
        </w:rPr>
      </w:pPr>
    </w:p>
    <w:p w:rsidR="004C2D26" w:rsidRDefault="006820F2" w:rsidP="00523992">
      <w:pPr>
        <w:spacing w:line="276" w:lineRule="auto"/>
        <w:jc w:val="both"/>
      </w:pPr>
      <w:r w:rsidRPr="004C2D26">
        <w:rPr>
          <w:bCs/>
        </w:rPr>
        <w:t xml:space="preserve">            II / </w:t>
      </w:r>
      <w:r w:rsidRPr="004C2D26">
        <w:t>Le distri</w:t>
      </w:r>
      <w:r w:rsidR="00A616E5">
        <w:t>ct volcanique d'In-</w:t>
      </w:r>
      <w:proofErr w:type="spellStart"/>
      <w:r w:rsidR="00A616E5">
        <w:t>Ezzane</w:t>
      </w:r>
      <w:proofErr w:type="spellEnd"/>
      <w:r w:rsidR="00A616E5">
        <w:t xml:space="preserve"> (DEZ) est</w:t>
      </w:r>
      <w:r w:rsidRPr="004C2D26">
        <w:t xml:space="preserve"> situé à la jonction triple de l'A</w:t>
      </w:r>
      <w:r w:rsidR="00A616E5">
        <w:t>lgérie, du Niger et de la Libye.</w:t>
      </w:r>
      <w:r w:rsidRPr="004C2D26">
        <w:t xml:space="preserve"> </w:t>
      </w:r>
      <w:r w:rsidR="00A616E5">
        <w:t xml:space="preserve">Il </w:t>
      </w:r>
      <w:r w:rsidRPr="004C2D26">
        <w:t>appartient au Hoggar oriental (</w:t>
      </w:r>
      <w:proofErr w:type="spellStart"/>
      <w:r w:rsidRPr="004C2D26">
        <w:t>terrane</w:t>
      </w:r>
      <w:proofErr w:type="spellEnd"/>
      <w:r w:rsidRPr="004C2D26">
        <w:t xml:space="preserve"> </w:t>
      </w:r>
      <w:proofErr w:type="spellStart"/>
      <w:r w:rsidRPr="004C2D26">
        <w:t>Edembo</w:t>
      </w:r>
      <w:proofErr w:type="spellEnd"/>
      <w:r w:rsidRPr="004C2D26">
        <w:t>). Il est situé à environ 20</w:t>
      </w:r>
      <w:r w:rsidR="00523992">
        <w:t>0km au SE de la ville de Djanet</w:t>
      </w:r>
      <w:r w:rsidRPr="004C2D26">
        <w:t>. On dénombre 9 appareils volcaniques. Les laves émises  couvrent une aire de 350 km</w:t>
      </w:r>
      <w:r w:rsidRPr="004C2D26">
        <w:rPr>
          <w:vertAlign w:val="superscript"/>
        </w:rPr>
        <w:t>2</w:t>
      </w:r>
      <w:r w:rsidRPr="004C2D26">
        <w:t xml:space="preserve">. L'âge </w:t>
      </w:r>
      <w:proofErr w:type="spellStart"/>
      <w:r w:rsidRPr="004C2D26">
        <w:t>K-Ar</w:t>
      </w:r>
      <w:proofErr w:type="spellEnd"/>
      <w:r w:rsidRPr="004C2D26">
        <w:t xml:space="preserve"> mesuré (2,86 ± 0.07 Ma, </w:t>
      </w:r>
      <w:proofErr w:type="spellStart"/>
      <w:r w:rsidRPr="004C2D26">
        <w:t>Yahiaoui</w:t>
      </w:r>
      <w:proofErr w:type="spellEnd"/>
      <w:r w:rsidRPr="004C2D26">
        <w:t xml:space="preserve"> et al, 2014) indique que cette activité volcanique était contemporaine du dernier épisode paroxystiq</w:t>
      </w:r>
      <w:r w:rsidR="007F65B6" w:rsidRPr="004C2D26">
        <w:t xml:space="preserve">ue magmatique alcalin identifié </w:t>
      </w:r>
      <w:r w:rsidRPr="004C2D26">
        <w:t xml:space="preserve">dans le Hoggar. </w:t>
      </w:r>
    </w:p>
    <w:p w:rsidR="006820F2" w:rsidRPr="004C2D26" w:rsidRDefault="006820F2" w:rsidP="00A616E5">
      <w:pPr>
        <w:spacing w:line="276" w:lineRule="auto"/>
        <w:jc w:val="both"/>
      </w:pPr>
      <w:r w:rsidRPr="004C2D26">
        <w:t>Les laves de DEZ sont des basanites avec des compositions homogènes en élém</w:t>
      </w:r>
      <w:r w:rsidR="00A616E5">
        <w:t xml:space="preserve">ents majeurs et en </w:t>
      </w:r>
      <w:proofErr w:type="spellStart"/>
      <w:r w:rsidR="00A616E5">
        <w:t>teres</w:t>
      </w:r>
      <w:proofErr w:type="spellEnd"/>
      <w:r w:rsidR="00A616E5">
        <w:t xml:space="preserve"> rares</w:t>
      </w:r>
      <w:r w:rsidRPr="004C2D26">
        <w:t>. Les données isotopiques varient peu (0,702853 &lt;</w:t>
      </w:r>
      <w:r w:rsidRPr="004C2D26">
        <w:rPr>
          <w:vertAlign w:val="superscript"/>
        </w:rPr>
        <w:t>87</w:t>
      </w:r>
      <w:r w:rsidRPr="004C2D26">
        <w:t>Sr/</w:t>
      </w:r>
      <w:r w:rsidRPr="004C2D26">
        <w:rPr>
          <w:vertAlign w:val="superscript"/>
        </w:rPr>
        <w:t>86</w:t>
      </w:r>
      <w:r w:rsidRPr="004C2D26">
        <w:t>Sr &lt;0,703025; 0,512978 &lt;</w:t>
      </w:r>
      <w:r w:rsidRPr="004C2D26">
        <w:rPr>
          <w:vertAlign w:val="superscript"/>
        </w:rPr>
        <w:t>143</w:t>
      </w:r>
      <w:r w:rsidRPr="004C2D26">
        <w:t>Nd/</w:t>
      </w:r>
      <w:r w:rsidRPr="004C2D26">
        <w:rPr>
          <w:vertAlign w:val="superscript"/>
        </w:rPr>
        <w:t>144</w:t>
      </w:r>
      <w:r w:rsidRPr="004C2D26">
        <w:t>Nd &lt;0,513011; (19.2123 &lt;</w:t>
      </w:r>
      <w:r w:rsidRPr="004C2D26">
        <w:rPr>
          <w:vertAlign w:val="superscript"/>
        </w:rPr>
        <w:t>206</w:t>
      </w:r>
      <w:r w:rsidRPr="004C2D26">
        <w:t>Pb/</w:t>
      </w:r>
      <w:r w:rsidRPr="004C2D26">
        <w:rPr>
          <w:vertAlign w:val="superscript"/>
        </w:rPr>
        <w:t>204</w:t>
      </w:r>
      <w:r w:rsidRPr="004C2D26">
        <w:t>Pb &lt;19,3399) confirmant son homogénéité compositionnelle.</w:t>
      </w:r>
      <w:r w:rsidR="004C2D26">
        <w:t xml:space="preserve"> </w:t>
      </w:r>
      <w:r w:rsidRPr="004C2D26">
        <w:t xml:space="preserve">Les basaltes du </w:t>
      </w:r>
      <w:r w:rsidR="00A616E5">
        <w:t>DEZ apparaissent très appauvris</w:t>
      </w:r>
      <w:r w:rsidRPr="004C2D26">
        <w:t xml:space="preserve"> en éléments incompatibles, suggérant que les laves du DEZ sont issues d’un faible taux de fusion d’un manteau source ayant une composition similaire au manteau source des </w:t>
      </w:r>
      <w:proofErr w:type="spellStart"/>
      <w:r w:rsidRPr="004C2D26">
        <w:t>tholéiites</w:t>
      </w:r>
      <w:proofErr w:type="spellEnd"/>
      <w:r w:rsidRPr="004C2D26">
        <w:t xml:space="preserve"> du Hoggar. </w:t>
      </w:r>
      <w:r w:rsidR="002B5C2E" w:rsidRPr="004C2D26">
        <w:t>La</w:t>
      </w:r>
      <w:r w:rsidRPr="004C2D26">
        <w:t xml:space="preserve"> signature géochimique identifiée pour les laves du district In-</w:t>
      </w:r>
      <w:proofErr w:type="spellStart"/>
      <w:r w:rsidRPr="004C2D26">
        <w:t>ezzane</w:t>
      </w:r>
      <w:proofErr w:type="spellEnd"/>
      <w:r w:rsidRPr="004C2D26">
        <w:t xml:space="preserve"> pourrait être caractéristique de la marge du craton Libyen </w:t>
      </w:r>
      <w:proofErr w:type="spellStart"/>
      <w:r w:rsidRPr="004C2D26">
        <w:t>Murzouk</w:t>
      </w:r>
      <w:proofErr w:type="spellEnd"/>
      <w:r w:rsidRPr="004C2D26">
        <w:rPr>
          <w:b/>
          <w:bCs/>
        </w:rPr>
        <w:t xml:space="preserve">. </w:t>
      </w:r>
    </w:p>
    <w:p w:rsidR="00A616E5" w:rsidRDefault="006820F2" w:rsidP="00A616E5">
      <w:pPr>
        <w:spacing w:line="276" w:lineRule="auto"/>
        <w:jc w:val="both"/>
      </w:pPr>
      <w:r w:rsidRPr="004C2D26">
        <w:t>Les xénolites mantelliques du massif d’In-</w:t>
      </w:r>
      <w:proofErr w:type="spellStart"/>
      <w:r w:rsidRPr="004C2D26">
        <w:t>Ezzane</w:t>
      </w:r>
      <w:proofErr w:type="spellEnd"/>
      <w:r w:rsidRPr="004C2D26">
        <w:t xml:space="preserve"> sont représentées par des </w:t>
      </w:r>
      <w:proofErr w:type="spellStart"/>
      <w:r w:rsidRPr="004C2D26">
        <w:t>lherzolites</w:t>
      </w:r>
      <w:proofErr w:type="spellEnd"/>
      <w:r w:rsidRPr="004C2D26">
        <w:t xml:space="preserve">, des </w:t>
      </w:r>
      <w:proofErr w:type="spellStart"/>
      <w:r w:rsidRPr="004C2D26">
        <w:t>harzburgites</w:t>
      </w:r>
      <w:proofErr w:type="spellEnd"/>
      <w:r w:rsidRPr="004C2D26">
        <w:t xml:space="preserve"> et accessoirement des </w:t>
      </w:r>
      <w:proofErr w:type="spellStart"/>
      <w:r w:rsidRPr="004C2D26">
        <w:t>dunites</w:t>
      </w:r>
      <w:proofErr w:type="spellEnd"/>
      <w:r w:rsidRPr="004C2D26">
        <w:t xml:space="preserve">. </w:t>
      </w:r>
      <w:r w:rsidR="002B5C2E" w:rsidRPr="004C2D26">
        <w:t xml:space="preserve">Elles montrent </w:t>
      </w:r>
      <w:r w:rsidRPr="004C2D26">
        <w:t xml:space="preserve"> deux groupes de texture bien disti</w:t>
      </w:r>
      <w:r w:rsidR="00A616E5">
        <w:t xml:space="preserve">ncts : </w:t>
      </w:r>
    </w:p>
    <w:p w:rsidR="006820F2" w:rsidRPr="004C2D26" w:rsidRDefault="006820F2" w:rsidP="00A616E5">
      <w:pPr>
        <w:spacing w:line="276" w:lineRule="auto"/>
        <w:jc w:val="both"/>
      </w:pPr>
      <w:r w:rsidRPr="004C2D26">
        <w:t xml:space="preserve">Le  </w:t>
      </w:r>
      <w:r w:rsidRPr="004C2D26">
        <w:rPr>
          <w:i/>
          <w:iCs/>
        </w:rPr>
        <w:t>1</w:t>
      </w:r>
      <w:r w:rsidRPr="004C2D26">
        <w:rPr>
          <w:i/>
          <w:iCs/>
          <w:vertAlign w:val="superscript"/>
        </w:rPr>
        <w:t>er</w:t>
      </w:r>
      <w:r w:rsidRPr="004C2D26">
        <w:rPr>
          <w:i/>
          <w:iCs/>
        </w:rPr>
        <w:t xml:space="preserve"> groupe</w:t>
      </w:r>
      <w:r w:rsidRPr="004C2D26">
        <w:t xml:space="preserve"> composé d’enclaves </w:t>
      </w:r>
      <w:proofErr w:type="spellStart"/>
      <w:r w:rsidRPr="004C2D26">
        <w:t>harzburgitiques</w:t>
      </w:r>
      <w:proofErr w:type="spellEnd"/>
      <w:r w:rsidRPr="004C2D26">
        <w:t xml:space="preserve"> non déformées mais très recristallisées, à texture à grains grossiers à nette tendance </w:t>
      </w:r>
      <w:proofErr w:type="spellStart"/>
      <w:r w:rsidRPr="004C2D26">
        <w:t>poeciloblastique</w:t>
      </w:r>
      <w:proofErr w:type="spellEnd"/>
      <w:r w:rsidRPr="004C2D26">
        <w:t xml:space="preserve">. </w:t>
      </w:r>
      <w:r w:rsidR="00792E3D" w:rsidRPr="004C2D26">
        <w:t>Il</w:t>
      </w:r>
      <w:r w:rsidRPr="004C2D26">
        <w:t xml:space="preserve"> est marqué par des températures d’équilibration</w:t>
      </w:r>
      <w:r w:rsidR="007F0D3E">
        <w:t xml:space="preserve"> élevées (1006°C&lt;Tº&lt; 1132°C)</w:t>
      </w:r>
      <w:r w:rsidR="00792E3D" w:rsidRPr="004C2D26">
        <w:t>.</w:t>
      </w:r>
      <w:r w:rsidR="00515BE3" w:rsidRPr="004C2D26">
        <w:t xml:space="preserve"> </w:t>
      </w:r>
      <w:r w:rsidRPr="004C2D26">
        <w:t xml:space="preserve">Le </w:t>
      </w:r>
      <w:r w:rsidRPr="004C2D26">
        <w:rPr>
          <w:i/>
          <w:iCs/>
        </w:rPr>
        <w:t>2</w:t>
      </w:r>
      <w:r w:rsidRPr="004C2D26">
        <w:rPr>
          <w:i/>
          <w:iCs/>
          <w:vertAlign w:val="superscript"/>
        </w:rPr>
        <w:t>e</w:t>
      </w:r>
      <w:r w:rsidRPr="004C2D26">
        <w:rPr>
          <w:i/>
          <w:iCs/>
        </w:rPr>
        <w:t xml:space="preserve"> groupe</w:t>
      </w:r>
      <w:r w:rsidRPr="004C2D26">
        <w:t xml:space="preserve"> est composé de </w:t>
      </w:r>
      <w:proofErr w:type="spellStart"/>
      <w:r w:rsidRPr="004C2D26">
        <w:t>lherzolites</w:t>
      </w:r>
      <w:proofErr w:type="spellEnd"/>
      <w:r w:rsidRPr="004C2D26">
        <w:t xml:space="preserve"> à texture </w:t>
      </w:r>
      <w:proofErr w:type="spellStart"/>
      <w:r w:rsidRPr="004C2D26">
        <w:t>porphyroclastiq</w:t>
      </w:r>
      <w:r w:rsidR="00792E3D" w:rsidRPr="004C2D26">
        <w:t>ue</w:t>
      </w:r>
      <w:proofErr w:type="spellEnd"/>
      <w:r w:rsidR="00792E3D" w:rsidRPr="004C2D26">
        <w:t xml:space="preserve"> marquée par des températures</w:t>
      </w:r>
      <w:r w:rsidRPr="004C2D26">
        <w:t xml:space="preserve"> faibles à moyennes (741°C&lt;Tº&lt; 925°C). Il corresp</w:t>
      </w:r>
      <w:r w:rsidR="00792E3D" w:rsidRPr="004C2D26">
        <w:t xml:space="preserve">ond à des </w:t>
      </w:r>
      <w:proofErr w:type="spellStart"/>
      <w:r w:rsidR="00792E3D" w:rsidRPr="004C2D26">
        <w:t>pérodotites</w:t>
      </w:r>
      <w:proofErr w:type="spellEnd"/>
      <w:r w:rsidR="00792E3D" w:rsidRPr="004C2D26">
        <w:t xml:space="preserve"> fertiles.</w:t>
      </w:r>
    </w:p>
    <w:p w:rsidR="006820F2" w:rsidRDefault="00B56348" w:rsidP="00B56348">
      <w:pPr>
        <w:spacing w:line="276" w:lineRule="auto"/>
        <w:jc w:val="both"/>
      </w:pPr>
      <w:r w:rsidRPr="00170B8B">
        <w:t xml:space="preserve">L’agent </w:t>
      </w:r>
      <w:proofErr w:type="spellStart"/>
      <w:r w:rsidRPr="00170B8B">
        <w:t>métasomatique</w:t>
      </w:r>
      <w:proofErr w:type="spellEnd"/>
      <w:r w:rsidRPr="00170B8B">
        <w:t xml:space="preserve"> principal </w:t>
      </w:r>
      <w:r>
        <w:t>affectant l</w:t>
      </w:r>
      <w:r w:rsidRPr="00170B8B">
        <w:t xml:space="preserve">es xénolites du manteau lithosphérique à l’aplomb </w:t>
      </w:r>
      <w:r>
        <w:t>du district d’In-</w:t>
      </w:r>
      <w:proofErr w:type="spellStart"/>
      <w:r>
        <w:t>Ezzane</w:t>
      </w:r>
      <w:proofErr w:type="spellEnd"/>
      <w:r>
        <w:t xml:space="preserve"> </w:t>
      </w:r>
      <w:r w:rsidRPr="00170B8B">
        <w:t xml:space="preserve">est de nature </w:t>
      </w:r>
      <w:r>
        <w:t xml:space="preserve">à la fois alcaline et </w:t>
      </w:r>
      <w:proofErr w:type="spellStart"/>
      <w:r w:rsidRPr="00170B8B">
        <w:t>carbonatitique</w:t>
      </w:r>
      <w:proofErr w:type="spellEnd"/>
      <w:r w:rsidRPr="00170B8B">
        <w:t>.</w:t>
      </w:r>
    </w:p>
    <w:p w:rsidR="00B56348" w:rsidRPr="004C2D26" w:rsidRDefault="00B56348" w:rsidP="00B56348">
      <w:pPr>
        <w:spacing w:line="276" w:lineRule="auto"/>
        <w:jc w:val="both"/>
      </w:pPr>
    </w:p>
    <w:sectPr w:rsidR="00B56348" w:rsidRPr="004C2D26" w:rsidSect="00A84335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7D3F01"/>
    <w:rsid w:val="000247A4"/>
    <w:rsid w:val="001E3388"/>
    <w:rsid w:val="00213D4A"/>
    <w:rsid w:val="00265213"/>
    <w:rsid w:val="00296140"/>
    <w:rsid w:val="002B5C2E"/>
    <w:rsid w:val="00360082"/>
    <w:rsid w:val="004C2D26"/>
    <w:rsid w:val="00515BE3"/>
    <w:rsid w:val="00523992"/>
    <w:rsid w:val="006820F2"/>
    <w:rsid w:val="00750242"/>
    <w:rsid w:val="00757899"/>
    <w:rsid w:val="00757BDD"/>
    <w:rsid w:val="0079003A"/>
    <w:rsid w:val="00792E3D"/>
    <w:rsid w:val="007D3F01"/>
    <w:rsid w:val="007F0D3E"/>
    <w:rsid w:val="007F65B6"/>
    <w:rsid w:val="00912507"/>
    <w:rsid w:val="0093689E"/>
    <w:rsid w:val="00A31136"/>
    <w:rsid w:val="00A616E5"/>
    <w:rsid w:val="00A84335"/>
    <w:rsid w:val="00B56348"/>
    <w:rsid w:val="00BE2C9D"/>
    <w:rsid w:val="00D042D9"/>
    <w:rsid w:val="00D8317A"/>
    <w:rsid w:val="00DB359B"/>
    <w:rsid w:val="00EA0B23"/>
    <w:rsid w:val="00EF0E9F"/>
    <w:rsid w:val="00F4794A"/>
    <w:rsid w:val="00FF0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Bidi" w:eastAsiaTheme="minorHAnsi" w:hAnsiTheme="majorBidi" w:cstheme="majorBidi"/>
        <w:color w:val="000000"/>
        <w:sz w:val="24"/>
        <w:szCs w:val="24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3F01"/>
    <w:pPr>
      <w:spacing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D3F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</w:rPr>
  </w:style>
  <w:style w:type="paragraph" w:styleId="Textebrut">
    <w:name w:val="Plain Text"/>
    <w:basedOn w:val="Normal"/>
    <w:link w:val="TextebrutCar"/>
    <w:rsid w:val="007D3F01"/>
    <w:rPr>
      <w:rFonts w:ascii="Courier New" w:hAnsi="Courier New"/>
    </w:rPr>
  </w:style>
  <w:style w:type="character" w:customStyle="1" w:styleId="TextebrutCar">
    <w:name w:val="Texte brut Car"/>
    <w:basedOn w:val="Policepardfaut"/>
    <w:link w:val="Textebrut"/>
    <w:rsid w:val="007D3F01"/>
    <w:rPr>
      <w:rFonts w:ascii="Courier New" w:eastAsia="Times New Roman" w:hAnsi="Courier New" w:cs="Times New Roman"/>
      <w:color w:val="auto"/>
      <w:sz w:val="20"/>
      <w:szCs w:val="20"/>
      <w:lang w:eastAsia="fr-FR"/>
    </w:rPr>
  </w:style>
  <w:style w:type="character" w:customStyle="1" w:styleId="yshortcuts">
    <w:name w:val="yshortcuts"/>
    <w:rsid w:val="007D3F01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615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yahiaoui rachid</dc:creator>
  <cp:keywords/>
  <dc:description/>
  <cp:lastModifiedBy>naima</cp:lastModifiedBy>
  <cp:revision>12</cp:revision>
  <dcterms:created xsi:type="dcterms:W3CDTF">2017-01-24T09:32:00Z</dcterms:created>
  <dcterms:modified xsi:type="dcterms:W3CDTF">2017-06-14T11:10:00Z</dcterms:modified>
</cp:coreProperties>
</file>