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7C75" w:rsidRPr="006B7C75" w:rsidRDefault="006B7C75" w:rsidP="006B7C75">
      <w:pPr>
        <w:bidi w:val="0"/>
        <w:rPr>
          <w:lang w:val="fr-FR" w:bidi="ar-DZ"/>
        </w:rPr>
      </w:pPr>
      <w:r w:rsidRPr="006B7C75">
        <w:rPr>
          <w:lang w:val="fr-FR" w:bidi="ar-DZ"/>
        </w:rPr>
        <w:t xml:space="preserve">  La première partie de ce travail porte sur l'étude du polymorphisme d'un produit organique </w:t>
      </w:r>
    </w:p>
    <w:p w:rsidR="006B7C75" w:rsidRPr="006B7C75" w:rsidRDefault="006B7C75" w:rsidP="006B7C75">
      <w:pPr>
        <w:bidi w:val="0"/>
        <w:rPr>
          <w:lang w:val="fr-FR" w:bidi="ar-DZ"/>
        </w:rPr>
      </w:pPr>
      <w:r w:rsidRPr="006B7C75">
        <w:rPr>
          <w:lang w:val="fr-FR" w:bidi="ar-DZ"/>
        </w:rPr>
        <w:t>pharmaceutique. Le Trimethoprime est un antibiotique de la famille des diaminopyrimidines.</w:t>
      </w:r>
    </w:p>
    <w:p w:rsidR="006B7C75" w:rsidRPr="006B7C75" w:rsidRDefault="006B7C75" w:rsidP="006B7C75">
      <w:pPr>
        <w:bidi w:val="0"/>
        <w:rPr>
          <w:lang w:val="fr-FR" w:bidi="ar-DZ"/>
        </w:rPr>
      </w:pPr>
      <w:r w:rsidRPr="006B7C75">
        <w:rPr>
          <w:lang w:val="fr-FR" w:bidi="ar-DZ"/>
        </w:rPr>
        <w:t xml:space="preserve">c'est un agent antimicrobien et antiparasitaire. Bien que présenté comme un agent </w:t>
      </w:r>
    </w:p>
    <w:p w:rsidR="006B7C75" w:rsidRPr="006B7C75" w:rsidRDefault="006B7C75" w:rsidP="006B7C75">
      <w:pPr>
        <w:bidi w:val="0"/>
        <w:rPr>
          <w:lang w:val="fr-FR" w:bidi="ar-DZ"/>
        </w:rPr>
      </w:pPr>
      <w:r w:rsidRPr="006B7C75">
        <w:rPr>
          <w:lang w:val="fr-FR" w:bidi="ar-DZ"/>
        </w:rPr>
        <w:t>antipaludéen, il est aujourd'hui essentiellement utilisé comme un agent antibactérien, surtout</w:t>
      </w:r>
    </w:p>
    <w:p w:rsidR="006B7C75" w:rsidRPr="006B7C75" w:rsidRDefault="006B7C75" w:rsidP="006B7C75">
      <w:pPr>
        <w:bidi w:val="0"/>
        <w:rPr>
          <w:lang w:val="fr-FR" w:bidi="ar-DZ"/>
        </w:rPr>
      </w:pPr>
      <w:r w:rsidRPr="006B7C75">
        <w:rPr>
          <w:lang w:val="fr-FR" w:bidi="ar-DZ"/>
        </w:rPr>
        <w:t xml:space="preserve"> en combinaison avec le sulfaméthoxazole rend l'inhibition de la croissance des bactéries </w:t>
      </w:r>
    </w:p>
    <w:p w:rsidR="006B7C75" w:rsidRPr="006B7C75" w:rsidRDefault="006B7C75" w:rsidP="006B7C75">
      <w:pPr>
        <w:bidi w:val="0"/>
        <w:rPr>
          <w:lang w:val="fr-FR" w:bidi="ar-DZ"/>
        </w:rPr>
      </w:pPr>
      <w:r w:rsidRPr="006B7C75">
        <w:rPr>
          <w:lang w:val="fr-FR" w:bidi="ar-DZ"/>
        </w:rPr>
        <w:t xml:space="preserve">plus efficace.  </w:t>
      </w:r>
    </w:p>
    <w:p w:rsidR="006B7C75" w:rsidRPr="006B7C75" w:rsidRDefault="006B7C75" w:rsidP="006B7C75">
      <w:pPr>
        <w:bidi w:val="0"/>
        <w:rPr>
          <w:lang w:val="fr-FR" w:bidi="ar-DZ"/>
        </w:rPr>
      </w:pPr>
      <w:r w:rsidRPr="006B7C75">
        <w:rPr>
          <w:lang w:val="fr-FR" w:bidi="ar-DZ"/>
        </w:rPr>
        <w:t>Les nombreuses techniques de caractérisation mis en oeuvre ont permis d'identifier a</w:t>
      </w:r>
    </w:p>
    <w:p w:rsidR="006B7C75" w:rsidRPr="006B7C75" w:rsidRDefault="006B7C75" w:rsidP="006B7C75">
      <w:pPr>
        <w:bidi w:val="0"/>
        <w:rPr>
          <w:lang w:val="fr-FR" w:bidi="ar-DZ"/>
        </w:rPr>
      </w:pPr>
      <w:r w:rsidRPr="006B7C75">
        <w:rPr>
          <w:lang w:val="fr-FR" w:bidi="ar-DZ"/>
        </w:rPr>
        <w:t xml:space="preserve"> température ambiante deux polymorphes. L'application de la thermodynamique classique au</w:t>
      </w:r>
    </w:p>
    <w:p w:rsidR="006B7C75" w:rsidRPr="006B7C75" w:rsidRDefault="006B7C75" w:rsidP="006B7C75">
      <w:pPr>
        <w:bidi w:val="0"/>
        <w:rPr>
          <w:lang w:val="fr-FR" w:bidi="ar-DZ"/>
        </w:rPr>
      </w:pPr>
      <w:r w:rsidRPr="006B7C75">
        <w:rPr>
          <w:lang w:val="fr-FR" w:bidi="ar-DZ"/>
        </w:rPr>
        <w:t xml:space="preserve"> polymorphisme de l'état solide cristallin, fondée sur la construction du diagramme de phases </w:t>
      </w:r>
    </w:p>
    <w:p w:rsidR="006B7C75" w:rsidRPr="006B7C75" w:rsidRDefault="006B7C75" w:rsidP="006B7C75">
      <w:pPr>
        <w:bidi w:val="0"/>
        <w:rPr>
          <w:lang w:val="fr-FR" w:bidi="ar-DZ"/>
        </w:rPr>
      </w:pPr>
      <w:r w:rsidRPr="006B7C75">
        <w:rPr>
          <w:lang w:val="fr-FR" w:bidi="ar-DZ"/>
        </w:rPr>
        <w:t xml:space="preserve">pression-température (p, T) d'un corps pur, permet de définir les domaines de stabilité des </w:t>
      </w:r>
    </w:p>
    <w:p w:rsidR="006B7C75" w:rsidRPr="006B7C75" w:rsidRDefault="006B7C75" w:rsidP="006B7C75">
      <w:pPr>
        <w:bidi w:val="0"/>
        <w:rPr>
          <w:lang w:val="fr-FR" w:bidi="ar-DZ"/>
        </w:rPr>
      </w:pPr>
      <w:r w:rsidRPr="006B7C75">
        <w:rPr>
          <w:lang w:val="fr-FR" w:bidi="ar-DZ"/>
        </w:rPr>
        <w:t>phases cristallines d'un polymorphe ainsi que leur hiérarchie de stabilité.</w:t>
      </w:r>
    </w:p>
    <w:p w:rsidR="006B7C75" w:rsidRPr="006B7C75" w:rsidRDefault="006B7C75" w:rsidP="006B7C75">
      <w:pPr>
        <w:bidi w:val="0"/>
        <w:rPr>
          <w:lang w:val="fr-FR" w:bidi="ar-DZ"/>
        </w:rPr>
      </w:pPr>
      <w:r w:rsidRPr="006B7C75">
        <w:rPr>
          <w:lang w:val="fr-FR" w:bidi="ar-DZ"/>
        </w:rPr>
        <w:t>La deuxième partie du travail est consacrée à une application d'un modèle thermodynamique</w:t>
      </w:r>
    </w:p>
    <w:p w:rsidR="006B7C75" w:rsidRPr="006B7C75" w:rsidRDefault="006B7C75" w:rsidP="006B7C75">
      <w:pPr>
        <w:bidi w:val="0"/>
        <w:rPr>
          <w:lang w:val="fr-FR" w:bidi="ar-DZ"/>
        </w:rPr>
      </w:pPr>
      <w:r w:rsidRPr="006B7C75">
        <w:rPr>
          <w:lang w:val="fr-FR" w:bidi="ar-DZ"/>
        </w:rPr>
        <w:t xml:space="preserve"> afin de prévoir les diagrammes d'équilibre de phases  solide-liquide pour fournir des</w:t>
      </w:r>
    </w:p>
    <w:p w:rsidR="006B7C75" w:rsidRPr="006B7C75" w:rsidRDefault="006B7C75" w:rsidP="006B7C75">
      <w:pPr>
        <w:bidi w:val="0"/>
        <w:rPr>
          <w:lang w:val="fr-FR" w:bidi="ar-DZ"/>
        </w:rPr>
      </w:pPr>
      <w:r w:rsidRPr="006B7C75">
        <w:rPr>
          <w:lang w:val="fr-FR" w:bidi="ar-DZ"/>
        </w:rPr>
        <w:t xml:space="preserve"> informations fiables sur les éventuelles incompatibilités physiques ou chimiques entre les </w:t>
      </w:r>
    </w:p>
    <w:p w:rsidR="006B7C75" w:rsidRPr="006B7C75" w:rsidRDefault="006B7C75" w:rsidP="006B7C75">
      <w:pPr>
        <w:bidi w:val="0"/>
        <w:rPr>
          <w:lang w:val="fr-FR" w:bidi="ar-DZ"/>
        </w:rPr>
      </w:pPr>
      <w:r w:rsidRPr="006B7C75">
        <w:rPr>
          <w:lang w:val="fr-FR" w:bidi="ar-DZ"/>
        </w:rPr>
        <w:t xml:space="preserve">composants de la formulation (médicament-médicament ,  excipient), nous avons calculé les </w:t>
      </w:r>
    </w:p>
    <w:p w:rsidR="006B7C75" w:rsidRPr="006B7C75" w:rsidRDefault="006B7C75" w:rsidP="006B7C75">
      <w:pPr>
        <w:bidi w:val="0"/>
        <w:rPr>
          <w:lang w:val="fr-FR" w:bidi="ar-DZ"/>
        </w:rPr>
      </w:pPr>
      <w:r w:rsidRPr="006B7C75">
        <w:rPr>
          <w:lang w:val="fr-FR" w:bidi="ar-DZ"/>
        </w:rPr>
        <w:t xml:space="preserve">diagrammes liquide-solide à l'aide des modèles  idéal et UNIFAC modifié de mélanges </w:t>
      </w:r>
    </w:p>
    <w:p w:rsidR="006B7C75" w:rsidRPr="006B7C75" w:rsidRDefault="006B7C75" w:rsidP="006B7C75">
      <w:pPr>
        <w:bidi w:val="0"/>
        <w:rPr>
          <w:lang w:val="fr-FR" w:bidi="ar-DZ"/>
        </w:rPr>
      </w:pPr>
      <w:r w:rsidRPr="006B7C75">
        <w:rPr>
          <w:lang w:val="fr-FR" w:bidi="ar-DZ"/>
        </w:rPr>
        <w:t xml:space="preserve">binaires suivants: TMP- Acide Benzoique  et  TMP- Sulphamethoxypyridazine (SMPD.)  Les </w:t>
      </w:r>
    </w:p>
    <w:p w:rsidR="006B7C75" w:rsidRPr="006B7C75" w:rsidRDefault="006B7C75" w:rsidP="006B7C75">
      <w:pPr>
        <w:bidi w:val="0"/>
        <w:rPr>
          <w:lang w:val="fr-FR" w:bidi="ar-DZ"/>
        </w:rPr>
      </w:pPr>
      <w:r w:rsidRPr="006B7C75">
        <w:rPr>
          <w:lang w:val="fr-FR" w:bidi="ar-DZ"/>
        </w:rPr>
        <w:t>déviations observées par rapport</w:t>
      </w:r>
    </w:p>
    <w:p w:rsidR="006B7C75" w:rsidRPr="006B7C75" w:rsidRDefault="006B7C75" w:rsidP="006B7C75">
      <w:pPr>
        <w:bidi w:val="0"/>
        <w:rPr>
          <w:lang w:val="fr-FR" w:bidi="ar-DZ"/>
        </w:rPr>
      </w:pPr>
      <w:r w:rsidRPr="006B7C75">
        <w:rPr>
          <w:lang w:val="fr-FR" w:bidi="ar-DZ"/>
        </w:rPr>
        <w:t xml:space="preserve"> aux résultats expérimentaux sont attribuées à la complexité des systèmes étudiés. </w:t>
      </w:r>
    </w:p>
    <w:p w:rsidR="006B7C75" w:rsidRPr="006B7C75" w:rsidRDefault="006B7C75" w:rsidP="006B7C75">
      <w:pPr>
        <w:bidi w:val="0"/>
        <w:rPr>
          <w:lang w:val="fr-FR" w:bidi="ar-DZ"/>
        </w:rPr>
      </w:pPr>
      <w:r w:rsidRPr="006B7C75">
        <w:rPr>
          <w:lang w:val="fr-FR" w:bidi="ar-DZ"/>
        </w:rPr>
        <w:t>Nous avons aussi mesuré les diagrammes de phases des systèmes suivants :</w:t>
      </w:r>
    </w:p>
    <w:p w:rsidR="00FD1AD1" w:rsidRPr="006B7C75" w:rsidRDefault="006B7C75" w:rsidP="006B7C75">
      <w:pPr>
        <w:bidi w:val="0"/>
        <w:rPr>
          <w:rFonts w:hint="cs"/>
          <w:lang w:val="fr-FR" w:bidi="ar-DZ"/>
        </w:rPr>
      </w:pPr>
      <w:r w:rsidRPr="006B7C75">
        <w:rPr>
          <w:lang w:val="fr-FR" w:bidi="ar-DZ"/>
        </w:rPr>
        <w:t>TMP- Sulphadiazine (SFD)    et     Ibuprofene-Trimethlphloroglucinol. Le système TMP- Sulphadiazine (SFD  est utilisé dans le cadre d'une combinaison dans un ratio bien déterminé et commercialisé</w:t>
      </w:r>
    </w:p>
    <w:sectPr w:rsidR="00FD1AD1" w:rsidRPr="006B7C75" w:rsidSect="005F47A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6B7C75"/>
    <w:rsid w:val="005F47AF"/>
    <w:rsid w:val="006B7C75"/>
    <w:rsid w:val="00FD1A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1AD1"/>
    <w:pPr>
      <w:bidi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272</Words>
  <Characters>1557</Characters>
  <Application>Microsoft Office Word</Application>
  <DocSecurity>0</DocSecurity>
  <Lines>12</Lines>
  <Paragraphs>3</Paragraphs>
  <ScaleCrop>false</ScaleCrop>
  <Company/>
  <LinksUpToDate>false</LinksUpToDate>
  <CharactersWithSpaces>1826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lila</dc:creator>
  <cp:lastModifiedBy>lila</cp:lastModifiedBy>
  <cp:revision>1</cp:revision>
  <dcterms:created xsi:type="dcterms:W3CDTF">2015-06-11T13:14:00Z</dcterms:created>
  <dcterms:modified xsi:type="dcterms:W3CDTF">2015-06-11T13:14:00Z</dcterms:modified>
</cp:coreProperties>
</file>