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65E3" w:rsidRDefault="006865E3" w:rsidP="006865E3">
      <w:r>
        <w:t>Les polynucléaires neutrophiles sont les pivots de l’immunité innée. Ils sont la première</w:t>
      </w:r>
    </w:p>
    <w:p w:rsidR="006865E3" w:rsidRDefault="006865E3" w:rsidP="006865E3">
      <w:proofErr w:type="gramStart"/>
      <w:r>
        <w:t>lignée</w:t>
      </w:r>
      <w:proofErr w:type="gramEnd"/>
      <w:r>
        <w:t xml:space="preserve"> cellulaire à être recrutée rapidement sur le foyer infectieux. La fonction principale de ces</w:t>
      </w:r>
    </w:p>
    <w:p w:rsidR="006865E3" w:rsidRDefault="006865E3" w:rsidP="006865E3">
      <w:proofErr w:type="gramStart"/>
      <w:r>
        <w:t>cellules</w:t>
      </w:r>
      <w:proofErr w:type="gramEnd"/>
      <w:r>
        <w:t xml:space="preserve"> consiste à phagocyter les agents pathogènes et les détruire grâce à leur arsenal de</w:t>
      </w:r>
    </w:p>
    <w:p w:rsidR="006865E3" w:rsidRDefault="006865E3" w:rsidP="006865E3">
      <w:proofErr w:type="gramStart"/>
      <w:r>
        <w:t>molécules</w:t>
      </w:r>
      <w:proofErr w:type="gramEnd"/>
      <w:r>
        <w:t xml:space="preserve"> microbicides qui sont deux types les enzymes protéolytiques et les formes réactives</w:t>
      </w:r>
    </w:p>
    <w:p w:rsidR="006865E3" w:rsidRDefault="006865E3" w:rsidP="006865E3">
      <w:proofErr w:type="gramStart"/>
      <w:r>
        <w:t>de</w:t>
      </w:r>
      <w:proofErr w:type="gramEnd"/>
      <w:r>
        <w:t xml:space="preserve"> l’oxygène (FRO) qui sont produites par la NADPH oxydase.</w:t>
      </w:r>
    </w:p>
    <w:p w:rsidR="006865E3" w:rsidRDefault="006865E3" w:rsidP="006865E3">
      <w:r>
        <w:t xml:space="preserve">La NADPH oxydase est un complexe enzymatique, dont les sous unités sont </w:t>
      </w:r>
      <w:proofErr w:type="gramStart"/>
      <w:r>
        <w:t>recrutées</w:t>
      </w:r>
      <w:proofErr w:type="gramEnd"/>
    </w:p>
    <w:p w:rsidR="006865E3" w:rsidRDefault="006865E3" w:rsidP="006865E3">
      <w:proofErr w:type="gramStart"/>
      <w:r>
        <w:t>après</w:t>
      </w:r>
      <w:proofErr w:type="gramEnd"/>
      <w:r>
        <w:t xml:space="preserve"> leur phosphorylation par des protéines Kinases (PK). L’activation de l’oxydase peut se</w:t>
      </w:r>
    </w:p>
    <w:p w:rsidR="006865E3" w:rsidRDefault="006865E3" w:rsidP="006865E3">
      <w:proofErr w:type="gramStart"/>
      <w:r>
        <w:t>faire</w:t>
      </w:r>
      <w:proofErr w:type="gramEnd"/>
      <w:r>
        <w:t xml:space="preserve"> in vivo par la phagocytose d’un agent pathogène ou par un facteur </w:t>
      </w:r>
      <w:proofErr w:type="spellStart"/>
      <w:r>
        <w:t>chimioattractant</w:t>
      </w:r>
      <w:proofErr w:type="spellEnd"/>
    </w:p>
    <w:p w:rsidR="006865E3" w:rsidRDefault="006865E3" w:rsidP="006865E3">
      <w:r>
        <w:t>(</w:t>
      </w:r>
      <w:proofErr w:type="spellStart"/>
      <w:proofErr w:type="gramStart"/>
      <w:r>
        <w:t>fMLF</w:t>
      </w:r>
      <w:proofErr w:type="spellEnd"/>
      <w:proofErr w:type="gramEnd"/>
      <w:r>
        <w:t xml:space="preserve">) et in vitro par le PMA (ester de </w:t>
      </w:r>
      <w:proofErr w:type="spellStart"/>
      <w:r>
        <w:t>phorbol</w:t>
      </w:r>
      <w:proofErr w:type="spellEnd"/>
      <w:r>
        <w:t xml:space="preserve"> qui active les PK). La production des FRO est</w:t>
      </w:r>
    </w:p>
    <w:p w:rsidR="006865E3" w:rsidRDefault="006865E3" w:rsidP="006865E3">
      <w:proofErr w:type="gramStart"/>
      <w:r>
        <w:t>un</w:t>
      </w:r>
      <w:proofErr w:type="gramEnd"/>
      <w:r>
        <w:t xml:space="preserve"> phénomène étroitement lié la phagocytose.</w:t>
      </w:r>
    </w:p>
    <w:p w:rsidR="006865E3" w:rsidRDefault="006865E3" w:rsidP="006865E3">
      <w:r>
        <w:t>Pendant la phagocytose les polynucléaires neutrophiles forment des pseudopodes</w:t>
      </w:r>
    </w:p>
    <w:p w:rsidR="006865E3" w:rsidRDefault="006865E3" w:rsidP="006865E3">
      <w:proofErr w:type="gramStart"/>
      <w:r>
        <w:t>nécessaires</w:t>
      </w:r>
      <w:proofErr w:type="gramEnd"/>
      <w:r>
        <w:t xml:space="preserve"> à leur déplacement vers leurs cibles, pour enfin les englober dans un </w:t>
      </w:r>
      <w:proofErr w:type="spellStart"/>
      <w:r>
        <w:t>phagosome</w:t>
      </w:r>
      <w:proofErr w:type="spellEnd"/>
      <w:r>
        <w:t>.</w:t>
      </w:r>
    </w:p>
    <w:p w:rsidR="006865E3" w:rsidRDefault="006865E3" w:rsidP="006865E3">
      <w:r>
        <w:t>Ce phénomène implique un apport de membrane, qui entraîne un remaniement des</w:t>
      </w:r>
    </w:p>
    <w:p w:rsidR="006865E3" w:rsidRDefault="006865E3" w:rsidP="006865E3">
      <w:proofErr w:type="gramStart"/>
      <w:r>
        <w:t>phospholipides</w:t>
      </w:r>
      <w:proofErr w:type="gramEnd"/>
      <w:r>
        <w:t xml:space="preserve"> membranaires, qui peuvent se trouver réorientés sur le feuillet de la membrane</w:t>
      </w:r>
    </w:p>
    <w:p w:rsidR="006865E3" w:rsidRDefault="006865E3" w:rsidP="006865E3">
      <w:proofErr w:type="gramStart"/>
      <w:r>
        <w:t>plasmique</w:t>
      </w:r>
      <w:proofErr w:type="gramEnd"/>
      <w:r>
        <w:t xml:space="preserve">. Notamment la </w:t>
      </w:r>
      <w:proofErr w:type="spellStart"/>
      <w:r>
        <w:t>Phosphatidylsérine</w:t>
      </w:r>
      <w:proofErr w:type="spellEnd"/>
      <w:r>
        <w:t xml:space="preserve"> (PS) qui est une composante de la membrane</w:t>
      </w:r>
    </w:p>
    <w:p w:rsidR="006865E3" w:rsidRDefault="006865E3" w:rsidP="006865E3">
      <w:proofErr w:type="gramStart"/>
      <w:r>
        <w:t>plasmique</w:t>
      </w:r>
      <w:proofErr w:type="gramEnd"/>
      <w:r>
        <w:t>, localisée exclusivement sur le feuillet interne grâce à l’action de</w:t>
      </w:r>
    </w:p>
    <w:p w:rsidR="006865E3" w:rsidRDefault="006865E3" w:rsidP="006865E3">
      <w:proofErr w:type="gramStart"/>
      <w:r>
        <w:t>l’</w:t>
      </w:r>
      <w:proofErr w:type="spellStart"/>
      <w:r>
        <w:t>aminophospholipide</w:t>
      </w:r>
      <w:proofErr w:type="spellEnd"/>
      <w:proofErr w:type="gramEnd"/>
      <w:r>
        <w:t xml:space="preserve"> </w:t>
      </w:r>
      <w:proofErr w:type="spellStart"/>
      <w:r>
        <w:t>translocase</w:t>
      </w:r>
      <w:proofErr w:type="spellEnd"/>
      <w:r>
        <w:t>. Dans une situation de phagocytose, cette PS pourrait se</w:t>
      </w:r>
    </w:p>
    <w:p w:rsidR="006865E3" w:rsidRDefault="006865E3" w:rsidP="006865E3">
      <w:proofErr w:type="gramStart"/>
      <w:r>
        <w:t>trouver</w:t>
      </w:r>
      <w:proofErr w:type="gramEnd"/>
      <w:r>
        <w:t xml:space="preserve"> transitoirement sur le feuillet externe qui peut être rapide, car elle sera </w:t>
      </w:r>
      <w:proofErr w:type="spellStart"/>
      <w:r>
        <w:t>transloquée</w:t>
      </w:r>
      <w:proofErr w:type="spellEnd"/>
    </w:p>
    <w:p w:rsidR="006865E3" w:rsidRDefault="006865E3" w:rsidP="006865E3">
      <w:proofErr w:type="gramStart"/>
      <w:r>
        <w:t>vers</w:t>
      </w:r>
      <w:proofErr w:type="gramEnd"/>
      <w:r>
        <w:t xml:space="preserve"> le feuillet interne.</w:t>
      </w:r>
    </w:p>
    <w:p w:rsidR="006865E3" w:rsidRDefault="006865E3" w:rsidP="006865E3">
      <w:r>
        <w:t>Pour mettre en évidence la relation entre la PS et l’activation de l’oxydase, notamment dans</w:t>
      </w:r>
    </w:p>
    <w:p w:rsidR="006865E3" w:rsidRDefault="006865E3" w:rsidP="006865E3">
      <w:proofErr w:type="gramStart"/>
      <w:r>
        <w:t>le</w:t>
      </w:r>
      <w:proofErr w:type="gramEnd"/>
      <w:r>
        <w:t xml:space="preserve"> recrutement des sous unités de l’oxydase. Nous avons adopté deux stratégies, que nous</w:t>
      </w:r>
    </w:p>
    <w:p w:rsidR="006865E3" w:rsidRDefault="006865E3" w:rsidP="006865E3">
      <w:proofErr w:type="gramStart"/>
      <w:r>
        <w:t>avons</w:t>
      </w:r>
      <w:proofErr w:type="gramEnd"/>
      <w:r>
        <w:t xml:space="preserve"> mis en </w:t>
      </w:r>
      <w:proofErr w:type="spellStart"/>
      <w:r>
        <w:t>oeuvre</w:t>
      </w:r>
      <w:proofErr w:type="spellEnd"/>
      <w:r>
        <w:t xml:space="preserve"> dans des cellules myéloïdes PLB 985, la première stratégie consiste à</w:t>
      </w:r>
    </w:p>
    <w:p w:rsidR="006865E3" w:rsidRDefault="006865E3" w:rsidP="006865E3">
      <w:proofErr w:type="gramStart"/>
      <w:r>
        <w:t>inhiber</w:t>
      </w:r>
      <w:proofErr w:type="gramEnd"/>
      <w:r>
        <w:t xml:space="preserve"> la PS sur le feuillet externe en utilisant de l’</w:t>
      </w:r>
      <w:proofErr w:type="spellStart"/>
      <w:r>
        <w:t>annexineV</w:t>
      </w:r>
      <w:proofErr w:type="spellEnd"/>
      <w:r>
        <w:t>, qui a une affinité avec la PS ou</w:t>
      </w:r>
    </w:p>
    <w:p w:rsidR="006865E3" w:rsidRDefault="006865E3" w:rsidP="006865E3">
      <w:proofErr w:type="gramStart"/>
      <w:r>
        <w:t>l’inhiber</w:t>
      </w:r>
      <w:proofErr w:type="gramEnd"/>
      <w:r>
        <w:t xml:space="preserve"> sur le feuillet interne par une approche moléculaire qui consiste à </w:t>
      </w:r>
      <w:proofErr w:type="spellStart"/>
      <w:r>
        <w:t>transfecter</w:t>
      </w:r>
      <w:proofErr w:type="spellEnd"/>
      <w:r>
        <w:t xml:space="preserve"> les PLB</w:t>
      </w:r>
    </w:p>
    <w:p w:rsidR="006865E3" w:rsidRDefault="006865E3" w:rsidP="006865E3">
      <w:r>
        <w:lastRenderedPageBreak/>
        <w:t>985 avec des constructions de plasmides exprimant des peptides fusionnés à la CFP (</w:t>
      </w:r>
    </w:p>
    <w:p w:rsidR="006865E3" w:rsidRDefault="006865E3" w:rsidP="006865E3">
      <w:proofErr w:type="gramStart"/>
      <w:r>
        <w:t>variante</w:t>
      </w:r>
      <w:proofErr w:type="gramEnd"/>
      <w:r>
        <w:t xml:space="preserve"> de la EGFP), dont un domaine de l’AV qui lie la PS en présence du Ca+ et un</w:t>
      </w:r>
    </w:p>
    <w:p w:rsidR="006865E3" w:rsidRDefault="006865E3" w:rsidP="006865E3">
      <w:proofErr w:type="gramStart"/>
      <w:r>
        <w:t>domaine</w:t>
      </w:r>
      <w:proofErr w:type="gramEnd"/>
      <w:r>
        <w:t xml:space="preserve"> C2 de la </w:t>
      </w:r>
      <w:proofErr w:type="spellStart"/>
      <w:r>
        <w:t>lactadhérine</w:t>
      </w:r>
      <w:proofErr w:type="spellEnd"/>
      <w:r>
        <w:t xml:space="preserve"> qui a une forte affinité à la PS indépendamment du Ca+. La</w:t>
      </w:r>
    </w:p>
    <w:p w:rsidR="006865E3" w:rsidRDefault="006865E3" w:rsidP="006865E3">
      <w:proofErr w:type="gramStart"/>
      <w:r>
        <w:t>seconde</w:t>
      </w:r>
      <w:proofErr w:type="gramEnd"/>
      <w:r>
        <w:t xml:space="preserve"> stratégie consiste à augmenter la concentration de PS sur le feuillet interne en</w:t>
      </w:r>
    </w:p>
    <w:p w:rsidR="006865E3" w:rsidRDefault="006865E3" w:rsidP="006865E3">
      <w:proofErr w:type="gramStart"/>
      <w:r>
        <w:t>traitant</w:t>
      </w:r>
      <w:proofErr w:type="gramEnd"/>
      <w:r>
        <w:t xml:space="preserve"> les cellules avec des liposomes chargés en PS.</w:t>
      </w:r>
    </w:p>
    <w:p w:rsidR="006865E3" w:rsidRDefault="006865E3" w:rsidP="006865E3">
      <w:r>
        <w:t xml:space="preserve">Dans ces conditions nous avons mesuré au </w:t>
      </w:r>
      <w:proofErr w:type="spellStart"/>
      <w:r>
        <w:t>cytomètre</w:t>
      </w:r>
      <w:proofErr w:type="spellEnd"/>
      <w:r>
        <w:t xml:space="preserve"> en flux la phagocytose et la</w:t>
      </w:r>
    </w:p>
    <w:p w:rsidR="006865E3" w:rsidRDefault="006865E3" w:rsidP="006865E3">
      <w:proofErr w:type="gramStart"/>
      <w:r>
        <w:t>production</w:t>
      </w:r>
      <w:proofErr w:type="gramEnd"/>
      <w:r>
        <w:t xml:space="preserve"> de ROS, qui reflète l’état d’activité de la NADPH oxydase. Nous avons utilisé des</w:t>
      </w:r>
    </w:p>
    <w:p w:rsidR="006865E3" w:rsidRDefault="006865E3" w:rsidP="006865E3">
      <w:proofErr w:type="gramStart"/>
      <w:r>
        <w:t>levures</w:t>
      </w:r>
      <w:proofErr w:type="gramEnd"/>
      <w:r>
        <w:t xml:space="preserve"> marquées au FITC pour la phagocytose et une sonde spécifique CDCDHFDA pour la</w:t>
      </w:r>
    </w:p>
    <w:p w:rsidR="006865E3" w:rsidRDefault="006865E3" w:rsidP="006865E3">
      <w:proofErr w:type="gramStart"/>
      <w:r>
        <w:t>production</w:t>
      </w:r>
      <w:proofErr w:type="gramEnd"/>
      <w:r>
        <w:t xml:space="preserve"> des ROS. L’expression des peptides fluorescents et leur recrutement au niveau de</w:t>
      </w:r>
    </w:p>
    <w:p w:rsidR="006865E3" w:rsidRDefault="006865E3" w:rsidP="006865E3">
      <w:proofErr w:type="gramStart"/>
      <w:r>
        <w:t>la</w:t>
      </w:r>
      <w:proofErr w:type="gramEnd"/>
      <w:r>
        <w:t xml:space="preserve"> membrane plasmique a été suivi par microscopie à </w:t>
      </w:r>
      <w:proofErr w:type="spellStart"/>
      <w:r>
        <w:t>epifluorescence</w:t>
      </w:r>
      <w:proofErr w:type="spellEnd"/>
      <w:r>
        <w:t>.</w:t>
      </w:r>
    </w:p>
    <w:p w:rsidR="006865E3" w:rsidRDefault="006865E3" w:rsidP="006865E3">
      <w:r>
        <w:t xml:space="preserve">Les mesures en </w:t>
      </w:r>
      <w:proofErr w:type="spellStart"/>
      <w:r>
        <w:t>cytomètrie</w:t>
      </w:r>
      <w:proofErr w:type="spellEnd"/>
      <w:r>
        <w:t xml:space="preserve"> de flux n’ont pas mis en évidence d’effet de l’addition d’AV et</w:t>
      </w:r>
    </w:p>
    <w:p w:rsidR="00346E57" w:rsidRPr="006865E3" w:rsidRDefault="006865E3" w:rsidP="006865E3">
      <w:proofErr w:type="gramStart"/>
      <w:r>
        <w:t>d’augmentation</w:t>
      </w:r>
      <w:proofErr w:type="gramEnd"/>
      <w:r>
        <w:t xml:space="preserve"> de la concentration de PS sur la phagocytose et la production des ROS.</w:t>
      </w:r>
    </w:p>
    <w:sectPr w:rsidR="00346E57" w:rsidRPr="006865E3" w:rsidSect="00346E57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1587"/>
    <w:rsid w:val="001D4B9C"/>
    <w:rsid w:val="00286A4B"/>
    <w:rsid w:val="00346E57"/>
    <w:rsid w:val="0047668B"/>
    <w:rsid w:val="004A75CF"/>
    <w:rsid w:val="006865E3"/>
    <w:rsid w:val="00B51587"/>
    <w:rsid w:val="00BA58DE"/>
    <w:rsid w:val="00C5317E"/>
    <w:rsid w:val="00DE57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6E5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466</Words>
  <Characters>2563</Characters>
  <Application>Microsoft Office Word</Application>
  <DocSecurity>0</DocSecurity>
  <Lines>21</Lines>
  <Paragraphs>6</Paragraphs>
  <ScaleCrop>false</ScaleCrop>
  <Company/>
  <LinksUpToDate>false</LinksUpToDate>
  <CharactersWithSpaces>3023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7</cp:revision>
  <dcterms:created xsi:type="dcterms:W3CDTF">2015-04-08T11:35:00Z</dcterms:created>
  <dcterms:modified xsi:type="dcterms:W3CDTF">2015-04-09T09:07:00Z</dcterms:modified>
</cp:coreProperties>
</file>