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0C94" w:rsidRDefault="00EA0C94" w:rsidP="00EA0C94">
      <w:pPr>
        <w:jc w:val="center"/>
        <w:rPr>
          <w:b/>
          <w:bCs/>
        </w:rPr>
      </w:pPr>
      <w:r>
        <w:rPr>
          <w:b/>
          <w:bCs/>
        </w:rPr>
        <w:t xml:space="preserve">LES MINERALISATIONS URANIFERES ENCAISSEES DANS LES FORMATIONS DETRITIQUES DEVONIENNE </w:t>
      </w:r>
      <w:r w:rsidRPr="009427A0">
        <w:rPr>
          <w:b/>
          <w:bCs/>
        </w:rPr>
        <w:t>D</w:t>
      </w:r>
      <w:r>
        <w:rPr>
          <w:b/>
          <w:bCs/>
        </w:rPr>
        <w:t xml:space="preserve">U </w:t>
      </w:r>
      <w:r w:rsidRPr="009427A0">
        <w:rPr>
          <w:b/>
          <w:bCs/>
        </w:rPr>
        <w:t xml:space="preserve"> BASSIN DE TIN SERIRINE</w:t>
      </w:r>
      <w:r>
        <w:rPr>
          <w:b/>
          <w:bCs/>
        </w:rPr>
        <w:t xml:space="preserve"> (SUD-EST DU </w:t>
      </w:r>
      <w:r w:rsidRPr="009427A0">
        <w:rPr>
          <w:b/>
          <w:bCs/>
        </w:rPr>
        <w:t>HOGGAR</w:t>
      </w:r>
      <w:r>
        <w:rPr>
          <w:b/>
          <w:bCs/>
        </w:rPr>
        <w:t>)</w:t>
      </w:r>
    </w:p>
    <w:p w:rsidR="00EA0C94" w:rsidRPr="00EA0C94" w:rsidRDefault="00EA0C94" w:rsidP="00EA0C94">
      <w:pPr>
        <w:jc w:val="center"/>
        <w:rPr>
          <w:b/>
          <w:bCs/>
        </w:rPr>
      </w:pPr>
    </w:p>
    <w:p w:rsidR="00EA0C94" w:rsidRDefault="00EA0C94" w:rsidP="00EA0C94">
      <w:pPr>
        <w:ind w:left="2520" w:right="2366"/>
      </w:pPr>
      <w:r>
        <w:t xml:space="preserve">Présenté par </w:t>
      </w:r>
      <w:r w:rsidRPr="00EA0C94">
        <w:rPr>
          <w:b/>
          <w:bCs/>
          <w:sz w:val="32"/>
          <w:szCs w:val="32"/>
        </w:rPr>
        <w:t>AMIEUR Mammar</w:t>
      </w:r>
    </w:p>
    <w:p w:rsidR="00EA0C94" w:rsidRDefault="00EA0C94" w:rsidP="00EA0C94">
      <w:pPr>
        <w:jc w:val="lowKashida"/>
      </w:pPr>
    </w:p>
    <w:p w:rsidR="00EA0C94" w:rsidRDefault="00EA0C94" w:rsidP="00EA0C94">
      <w:pPr>
        <w:ind w:left="1800" w:right="1826"/>
        <w:jc w:val="center"/>
      </w:pPr>
      <w:r>
        <w:t>Département de Géologie: FSTGAT/USTHB</w:t>
      </w:r>
    </w:p>
    <w:p w:rsidR="00EA0C94" w:rsidRDefault="00EA0C94" w:rsidP="00EA0C94">
      <w:pPr>
        <w:ind w:left="1800" w:right="1826"/>
        <w:jc w:val="center"/>
      </w:pPr>
    </w:p>
    <w:p w:rsidR="00EA0C94" w:rsidRDefault="00EA0C94" w:rsidP="00EA0C94">
      <w:pPr>
        <w:ind w:left="-360" w:right="-694"/>
        <w:rPr>
          <w:b/>
          <w:bCs/>
        </w:rPr>
      </w:pPr>
    </w:p>
    <w:p w:rsidR="00EA0C94" w:rsidRPr="00777B22" w:rsidRDefault="00EA0C94" w:rsidP="00EA0C94">
      <w:pPr>
        <w:pBdr>
          <w:top w:val="single" w:sz="4" w:space="1" w:color="auto"/>
          <w:left w:val="single" w:sz="4" w:space="4" w:color="auto"/>
          <w:bottom w:val="single" w:sz="4" w:space="1" w:color="auto"/>
          <w:right w:val="single" w:sz="4" w:space="4" w:color="auto"/>
        </w:pBdr>
        <w:ind w:left="-360" w:right="-694"/>
        <w:rPr>
          <w:b/>
          <w:bCs/>
        </w:rPr>
      </w:pPr>
      <w:r w:rsidRPr="00777B22">
        <w:rPr>
          <w:b/>
          <w:bCs/>
        </w:rPr>
        <w:t>Résumé:</w:t>
      </w: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firstLine="360"/>
        <w:jc w:val="lowKashida"/>
        <w:rPr>
          <w:color w:val="000000"/>
          <w:u w:val="single"/>
        </w:rPr>
      </w:pPr>
      <w:r w:rsidRPr="00A92B44">
        <w:rPr>
          <w:color w:val="000000"/>
        </w:rPr>
        <w:t>Les indices uranifères de Tamart-N-Iblis, Timouzline et Tedjert sont localisés à 350 Km au sud-est de Tamanrasset dans le bassin sédimentaire de Tin Séririne.</w:t>
      </w: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jc w:val="lowKashida"/>
        <w:rPr>
          <w:color w:val="000000"/>
          <w:sz w:val="20"/>
          <w:szCs w:val="20"/>
        </w:rPr>
      </w:pPr>
    </w:p>
    <w:p w:rsidR="00EA0C94" w:rsidRPr="00B167DC" w:rsidRDefault="00EA0C94" w:rsidP="00EA0C94">
      <w:pPr>
        <w:pBdr>
          <w:top w:val="single" w:sz="4" w:space="1" w:color="auto"/>
          <w:left w:val="single" w:sz="4" w:space="4" w:color="auto"/>
          <w:bottom w:val="single" w:sz="4" w:space="1" w:color="auto"/>
          <w:right w:val="single" w:sz="4" w:space="4" w:color="auto"/>
        </w:pBdr>
        <w:ind w:left="-360" w:right="-694" w:firstLine="360"/>
        <w:jc w:val="lowKashida"/>
      </w:pPr>
      <w:r w:rsidRPr="00A92B44">
        <w:rPr>
          <w:color w:val="000000"/>
        </w:rPr>
        <w:t xml:space="preserve">Cette région méridionale du Hoggar, avec son prolongement dans le territoire du Niger, correspond sur le plan métallogénique régional à la province uranifère algéro-nigérienne. Elle est </w:t>
      </w:r>
      <w:r w:rsidRPr="00B167DC">
        <w:t>caractérisée par des concentrations uranifères qui se localisent à différents niveaux de la série stratigraphique, de part et d'autre de la flexure d'In-Azaoua</w:t>
      </w:r>
      <w:r>
        <w:t xml:space="preserve"> sur une période de 420 Ma.</w:t>
      </w: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jc w:val="lowKashida"/>
        <w:rPr>
          <w:color w:val="000000"/>
          <w:sz w:val="20"/>
          <w:szCs w:val="20"/>
        </w:rPr>
      </w:pPr>
    </w:p>
    <w:p w:rsidR="00EA0C94" w:rsidRPr="00EB6C28" w:rsidRDefault="00EA0C94" w:rsidP="00EA0C94">
      <w:pPr>
        <w:pBdr>
          <w:top w:val="single" w:sz="4" w:space="1" w:color="auto"/>
          <w:left w:val="single" w:sz="4" w:space="4" w:color="auto"/>
          <w:bottom w:val="single" w:sz="4" w:space="1" w:color="auto"/>
          <w:right w:val="single" w:sz="4" w:space="4" w:color="auto"/>
        </w:pBdr>
        <w:ind w:left="-360" w:right="-694" w:firstLine="360"/>
        <w:jc w:val="lowKashida"/>
        <w:rPr>
          <w:color w:val="000000"/>
          <w:u w:val="single"/>
        </w:rPr>
      </w:pPr>
      <w:r w:rsidRPr="00A92B44">
        <w:rPr>
          <w:color w:val="000000"/>
        </w:rPr>
        <w:t>A l’échelle régionale, le rôle la tectonique cassante est majeur, dans la mesure où il a favorisé la configuration et la formation entre la flexure-faille d’In-Azaoua et la dorsale d’In-Guezzam  du bassin sédimentaire de Tin Séririne dans lequel se localisent les différents indices et concentrations uranifères.</w:t>
      </w:r>
    </w:p>
    <w:p w:rsidR="00EA0C94" w:rsidRPr="00EB6C28" w:rsidRDefault="00EA0C94" w:rsidP="00EA0C94">
      <w:pPr>
        <w:pBdr>
          <w:top w:val="single" w:sz="4" w:space="1" w:color="auto"/>
          <w:left w:val="single" w:sz="4" w:space="4" w:color="auto"/>
          <w:bottom w:val="single" w:sz="4" w:space="1" w:color="auto"/>
          <w:right w:val="single" w:sz="4" w:space="4" w:color="auto"/>
        </w:pBdr>
        <w:ind w:left="-360" w:right="-694" w:firstLine="360"/>
        <w:jc w:val="lowKashida"/>
        <w:rPr>
          <w:color w:val="000000"/>
        </w:rPr>
      </w:pPr>
      <w:r w:rsidRPr="00A92B44">
        <w:rPr>
          <w:color w:val="000000"/>
        </w:rPr>
        <w:t>L'étude sédimentologique a permis de définir un environnement fluviatile de type méandriforme, où les sédiments du Dévonien inférieur s'entassent en plusieurs séquences, constituant des accumulations gréseuses avec de nombreuses discontinuités internes. Ces formations gréseuses contiennent une fraction argileuse ainsi que de la matière organique détritique conservée parfois sous forme de lits charbonneux, associée par endroits à de la pyrite.</w:t>
      </w: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firstLine="360"/>
        <w:jc w:val="lowKashida"/>
        <w:rPr>
          <w:color w:val="000000"/>
        </w:rPr>
      </w:pPr>
      <w:r w:rsidRPr="00A92B44">
        <w:rPr>
          <w:color w:val="000000"/>
        </w:rPr>
        <w:t>L'étude pétrographique et minéralogique de la formation encaissante montre que la minéralisation se présente généralement en imprégnations, dans les espaces interstitiels des grés arkosiques. Cette minéralisation s'inscrit dans une association paragénétique représentée par des minéraux à uranium hexavalent, formant les dépôts primaires de tous les indices.</w:t>
      </w: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jc w:val="lowKashida"/>
        <w:rPr>
          <w:color w:val="000000"/>
          <w:sz w:val="20"/>
          <w:szCs w:val="20"/>
        </w:rPr>
      </w:pP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firstLine="360"/>
        <w:jc w:val="lowKashida"/>
        <w:rPr>
          <w:color w:val="000000"/>
        </w:rPr>
      </w:pPr>
      <w:r w:rsidRPr="00A92B44">
        <w:rPr>
          <w:color w:val="000000"/>
        </w:rPr>
        <w:t>Les études gîtologiques et géochimiques confirment le caractère épigénétique</w:t>
      </w:r>
      <w:r>
        <w:rPr>
          <w:color w:val="000000"/>
        </w:rPr>
        <w:t xml:space="preserve"> supergène</w:t>
      </w:r>
      <w:r w:rsidRPr="00A92B44">
        <w:rPr>
          <w:color w:val="000000"/>
        </w:rPr>
        <w:t xml:space="preserve"> des minéralisations</w:t>
      </w:r>
      <w:r>
        <w:rPr>
          <w:color w:val="000000"/>
        </w:rPr>
        <w:t xml:space="preserve">. </w:t>
      </w:r>
      <w:r w:rsidRPr="00903E77">
        <w:t>Les caractéristiques morphologiques des concentrations relèvent un sous-type pénéconcordant dans des grès d’un ensemble de Red-Bed</w:t>
      </w:r>
      <w:r w:rsidRPr="00A92B44">
        <w:rPr>
          <w:color w:val="000000"/>
        </w:rPr>
        <w:t>. Les fluides oxydants enrichis en minéraux d'U, V, Cu, Pb, P, Ca</w:t>
      </w:r>
      <w:r>
        <w:rPr>
          <w:color w:val="000000"/>
        </w:rPr>
        <w:t> , TR</w:t>
      </w:r>
      <w:r w:rsidRPr="00A92B44">
        <w:rPr>
          <w:color w:val="000000"/>
        </w:rPr>
        <w:t xml:space="preserve">…, responsables de la mise en place de la minéralisation; auraient précipités l'uranium et d'autres minéraux d'altération, suite à la rencontre d'un milieu oxydant. </w:t>
      </w:r>
      <w:r w:rsidRPr="00903E77">
        <w:t>C’est ainsi qu’une importante anomalie en terres rares en association dans l’indice Tedjert</w:t>
      </w:r>
      <w:r>
        <w:t xml:space="preserve"> a été</w:t>
      </w:r>
      <w:r w:rsidRPr="00903E77">
        <w:t xml:space="preserve"> </w:t>
      </w:r>
      <w:r w:rsidRPr="005D79F3">
        <w:t>mise en évidence</w:t>
      </w:r>
      <w:r>
        <w:rPr>
          <w:color w:val="000000"/>
        </w:rPr>
        <w:t xml:space="preserve">. </w:t>
      </w:r>
      <w:r w:rsidRPr="00A92B44">
        <w:rPr>
          <w:color w:val="000000"/>
        </w:rPr>
        <w:t>La présence des argiles</w:t>
      </w:r>
      <w:r>
        <w:rPr>
          <w:color w:val="000000"/>
        </w:rPr>
        <w:t> </w:t>
      </w:r>
      <w:r w:rsidRPr="005D79F3">
        <w:t>des hydroxydes ferriques</w:t>
      </w:r>
      <w:r>
        <w:rPr>
          <w:color w:val="000000"/>
        </w:rPr>
        <w:t>,</w:t>
      </w:r>
      <w:r w:rsidRPr="00A92B44">
        <w:rPr>
          <w:color w:val="000000"/>
        </w:rPr>
        <w:t xml:space="preserve"> et de la matière organique favorise la fixation par adsorption de l'uranium et permet donc de le concentrer. La distribution spatiale des minéralisations est liée à la géométrie des structures sédimentaires, paléo-chenaux, bases et feuillets obliques des corps gréseux. </w:t>
      </w: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jc w:val="lowKashida"/>
        <w:rPr>
          <w:color w:val="000000"/>
        </w:rPr>
      </w:pPr>
    </w:p>
    <w:p w:rsidR="00EA0C94" w:rsidRPr="00A92B44" w:rsidRDefault="00EA0C94" w:rsidP="00EA0C94">
      <w:pPr>
        <w:pBdr>
          <w:top w:val="single" w:sz="4" w:space="1" w:color="auto"/>
          <w:left w:val="single" w:sz="4" w:space="4" w:color="auto"/>
          <w:bottom w:val="single" w:sz="4" w:space="1" w:color="auto"/>
          <w:right w:val="single" w:sz="4" w:space="4" w:color="auto"/>
        </w:pBdr>
        <w:ind w:left="-360" w:right="-694" w:firstLine="360"/>
        <w:jc w:val="lowKashida"/>
        <w:rPr>
          <w:color w:val="000000"/>
        </w:rPr>
      </w:pPr>
      <w:r w:rsidRPr="00A92B44">
        <w:rPr>
          <w:color w:val="000000"/>
        </w:rPr>
        <w:t xml:space="preserve">La connaissance des processus métallogéniques de l'uranium ; source – transport et dépôt permet de générer des résultats qui seront considérés ou appliqués dans le cadre de l'exploration des concentrations uranifères dans ces formations dévoniennes. </w:t>
      </w:r>
    </w:p>
    <w:p w:rsidR="00EA0C94" w:rsidRDefault="00EA0C94" w:rsidP="00EA0C94">
      <w:pPr>
        <w:ind w:left="-360" w:right="-694"/>
        <w:jc w:val="lowKashida"/>
        <w:rPr>
          <w:color w:val="000000"/>
        </w:rPr>
      </w:pPr>
      <w:r w:rsidRPr="004172ED">
        <w:rPr>
          <w:b/>
          <w:bCs/>
          <w:color w:val="000000"/>
        </w:rPr>
        <w:t>Mots-clés :</w:t>
      </w:r>
      <w:r w:rsidRPr="00A92B44">
        <w:rPr>
          <w:color w:val="000000"/>
        </w:rPr>
        <w:t xml:space="preserve"> Uranium hexavalent, grés arkosique, Dévonie</w:t>
      </w:r>
      <w:r>
        <w:rPr>
          <w:color w:val="000000"/>
        </w:rPr>
        <w:t>n, Tin Séririne, Hoggar, milieu</w:t>
      </w:r>
    </w:p>
    <w:p w:rsidR="00EA0C94" w:rsidRDefault="00EA0C94" w:rsidP="00EA0C94">
      <w:pPr>
        <w:ind w:left="-360" w:right="-694" w:firstLine="1068"/>
        <w:jc w:val="lowKashida"/>
        <w:rPr>
          <w:color w:val="000000"/>
        </w:rPr>
      </w:pPr>
      <w:r>
        <w:rPr>
          <w:color w:val="000000"/>
        </w:rPr>
        <w:t xml:space="preserve">   </w:t>
      </w:r>
      <w:r w:rsidRPr="00A92B44">
        <w:rPr>
          <w:color w:val="000000"/>
        </w:rPr>
        <w:t>continental, épigénétique.</w:t>
      </w:r>
    </w:p>
    <w:p w:rsidR="00EA0C94" w:rsidRDefault="00EA0C94" w:rsidP="00EA0C94">
      <w:pPr>
        <w:ind w:left="-360" w:right="-694" w:firstLine="1068"/>
        <w:jc w:val="lowKashida"/>
        <w:rPr>
          <w:color w:val="000000"/>
        </w:rPr>
      </w:pPr>
    </w:p>
    <w:p w:rsidR="00EA0C94" w:rsidRPr="00A92B44" w:rsidRDefault="00EA0C94" w:rsidP="00EA0C94">
      <w:pPr>
        <w:ind w:left="-540" w:right="-874"/>
        <w:jc w:val="lowKashida"/>
        <w:rPr>
          <w:color w:val="000000"/>
        </w:rPr>
      </w:pPr>
      <w:r w:rsidRPr="00A92B44">
        <w:rPr>
          <w:color w:val="000000"/>
        </w:rPr>
        <w:t>Mémoire de Magister en Géologie</w:t>
      </w:r>
      <w:r w:rsidRPr="00A92B44">
        <w:rPr>
          <w:color w:val="000000"/>
        </w:rPr>
        <w:tab/>
      </w:r>
      <w:r w:rsidRPr="00A92B44">
        <w:rPr>
          <w:color w:val="000000"/>
        </w:rPr>
        <w:tab/>
      </w:r>
      <w:r w:rsidRPr="00A92B44">
        <w:rPr>
          <w:color w:val="000000"/>
        </w:rPr>
        <w:tab/>
      </w:r>
      <w:r w:rsidRPr="00A92B44">
        <w:rPr>
          <w:color w:val="000000"/>
        </w:rPr>
        <w:tab/>
      </w:r>
      <w:r w:rsidRPr="00A92B44">
        <w:rPr>
          <w:color w:val="000000"/>
        </w:rPr>
        <w:tab/>
      </w:r>
      <w:r w:rsidRPr="00A92B44">
        <w:rPr>
          <w:color w:val="000000"/>
        </w:rPr>
        <w:tab/>
      </w:r>
      <w:r>
        <w:rPr>
          <w:color w:val="000000"/>
        </w:rPr>
        <w:t xml:space="preserve">          </w:t>
      </w:r>
      <w:r w:rsidRPr="00A92B44">
        <w:rPr>
          <w:color w:val="000000"/>
        </w:rPr>
        <w:t>Option: Géologie  Minière</w:t>
      </w:r>
    </w:p>
    <w:p w:rsidR="00EA0C94" w:rsidRPr="00A92B44" w:rsidRDefault="00EA0C94" w:rsidP="00EA0C94">
      <w:pPr>
        <w:ind w:left="-540" w:right="-874"/>
        <w:jc w:val="lowKashida"/>
        <w:rPr>
          <w:color w:val="000000"/>
        </w:rPr>
      </w:pPr>
      <w:r w:rsidRPr="00A92B44">
        <w:rPr>
          <w:color w:val="000000"/>
        </w:rPr>
        <w:t xml:space="preserve"> Encadré par : Mr Omar KOLLI, Professeur, FSTGAT/USTHB </w:t>
      </w:r>
    </w:p>
    <w:sectPr w:rsidR="00EA0C94" w:rsidRPr="00A92B44" w:rsidSect="00B231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31F1" w:rsidRDefault="00EB31F1" w:rsidP="00EA0C94">
      <w:r>
        <w:separator/>
      </w:r>
    </w:p>
  </w:endnote>
  <w:endnote w:type="continuationSeparator" w:id="1">
    <w:p w:rsidR="00EB31F1" w:rsidRDefault="00EB31F1" w:rsidP="00EA0C9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31F1" w:rsidRDefault="00EB31F1" w:rsidP="00EA0C94">
      <w:r>
        <w:separator/>
      </w:r>
    </w:p>
  </w:footnote>
  <w:footnote w:type="continuationSeparator" w:id="1">
    <w:p w:rsidR="00EB31F1" w:rsidRDefault="00EB31F1" w:rsidP="00EA0C9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footnote w:id="0"/>
    <w:footnote w:id="1"/>
  </w:footnotePr>
  <w:endnotePr>
    <w:endnote w:id="0"/>
    <w:endnote w:id="1"/>
  </w:endnotePr>
  <w:compat/>
  <w:rsids>
    <w:rsidRoot w:val="00EA0C94"/>
    <w:rsid w:val="00AA7DA4"/>
    <w:rsid w:val="00B231D6"/>
    <w:rsid w:val="00DD6E09"/>
    <w:rsid w:val="00EA0C94"/>
    <w:rsid w:val="00EB31F1"/>
    <w:rsid w:val="00F0270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0C94"/>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EA0C94"/>
    <w:pPr>
      <w:tabs>
        <w:tab w:val="center" w:pos="4536"/>
        <w:tab w:val="right" w:pos="9072"/>
      </w:tabs>
    </w:pPr>
  </w:style>
  <w:style w:type="character" w:customStyle="1" w:styleId="En-tteCar">
    <w:name w:val="En-tête Car"/>
    <w:basedOn w:val="Policepardfaut"/>
    <w:link w:val="En-tte"/>
    <w:uiPriority w:val="99"/>
    <w:semiHidden/>
    <w:rsid w:val="00EA0C94"/>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EA0C94"/>
    <w:pPr>
      <w:tabs>
        <w:tab w:val="center" w:pos="4536"/>
        <w:tab w:val="right" w:pos="9072"/>
      </w:tabs>
    </w:pPr>
  </w:style>
  <w:style w:type="character" w:customStyle="1" w:styleId="PieddepageCar">
    <w:name w:val="Pied de page Car"/>
    <w:basedOn w:val="Policepardfaut"/>
    <w:link w:val="Pieddepage"/>
    <w:uiPriority w:val="99"/>
    <w:semiHidden/>
    <w:rsid w:val="00EA0C94"/>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503</Words>
  <Characters>2769</Characters>
  <Application>Microsoft Office Word</Application>
  <DocSecurity>0</DocSecurity>
  <Lines>23</Lines>
  <Paragraphs>6</Paragraphs>
  <ScaleCrop>false</ScaleCrop>
  <Company/>
  <LinksUpToDate>false</LinksUpToDate>
  <CharactersWithSpaces>3266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GéoClub</dc:creator>
  <cp:lastModifiedBy>GéoClub</cp:lastModifiedBy>
  <cp:revision>1</cp:revision>
  <cp:lastPrinted>2013-02-10T11:56:00Z</cp:lastPrinted>
  <dcterms:created xsi:type="dcterms:W3CDTF">2013-02-10T11:54:00Z</dcterms:created>
  <dcterms:modified xsi:type="dcterms:W3CDTF">2013-02-10T11:59:00Z</dcterms:modified>
</cp:coreProperties>
</file>