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2BCD" w:rsidRPr="00196CA1" w:rsidRDefault="00196CA1" w:rsidP="00196CA1">
      <w:pPr>
        <w:bidi w:val="0"/>
        <w:rPr>
          <w:rFonts w:hint="cs"/>
          <w:lang w:val="fr-FR" w:bidi="ar-DZ"/>
        </w:rPr>
      </w:pPr>
      <w:r w:rsidRPr="00196CA1">
        <w:rPr>
          <w:lang w:val="fr-FR" w:bidi="ar-DZ"/>
        </w:rPr>
        <w:t>Les résultats expérimentaux de solubilité et d'équilibre de phases liquide-liquide sont nécessaires pour les scientifiques dans les processus chimiques, les unités industrielles et l'optimisation des opérations de séparation ainsi que leurs interprétation, corrélation, et prédiction des propriétés physico-chimiques des mélanges spécifiques de grande importance industrielle et technique. Ce travail reporte de nouvelles données de solubilité et d'équilibre liquide-liquide, ainsi que des informations thermodynamiques quantitatives vis à vis des interactions moléculaires, pour des systèmes binaires et ternaires contenant de l’eau, des solvants organiques oxygénés et des composés halogénés, à différentes températures et à une pression de 0.1MPa. Des mesures effectuées sur des systèmes étalons nous ont permis de confirmer que les résultats obtenus étaient en bon accord avec les données de la littérature. Les nouvelles données expérimentales ont été utilisées pour estimer les points critiques, les facteurs de séparation, et la sélectivité des solvants pour les systèmes ternaires de type I. Les courbes binodales et les données d'équilibre liquide-liquide ont été bien corrélées par des équations empiriques (Hand, Othmer-Tobias). Les données expérimentales d'équilibre liquide-liquide des systèmes étudiés ont été traitées par deux modèles thermodynamiques, NRTL et UNIQUAC, avec un écart type moyen de 1.2% en fractions molaires. Le point critique pour les systèmes d’équilibre liquide-liquide de type I a été estimé et corrélé par NRTL et UNIQUAC. Les effets de la température et de la structure moléculaire des constituants sur l’intervalle d’immiscibilité des systèmes ont été évalués.</w:t>
      </w:r>
    </w:p>
    <w:sectPr w:rsidR="00512BCD" w:rsidRPr="00196CA1"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196CA1"/>
    <w:rsid w:val="00196CA1"/>
    <w:rsid w:val="00512BCD"/>
    <w:rsid w:val="005F47A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2BCD"/>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253</Words>
  <Characters>1447</Characters>
  <Application>Microsoft Office Word</Application>
  <DocSecurity>0</DocSecurity>
  <Lines>12</Lines>
  <Paragraphs>3</Paragraphs>
  <ScaleCrop>false</ScaleCrop>
  <Company/>
  <LinksUpToDate>false</LinksUpToDate>
  <CharactersWithSpaces>1697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2015-12-21T09:13:00Z</dcterms:created>
  <dcterms:modified xsi:type="dcterms:W3CDTF">2015-12-21T09:14:00Z</dcterms:modified>
</cp:coreProperties>
</file>