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244A" w:rsidRPr="00976C5F" w:rsidRDefault="00950821" w:rsidP="000E045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76C5F">
        <w:rPr>
          <w:rFonts w:ascii="Times New Roman" w:hAnsi="Times New Roman" w:cs="Times New Roman"/>
          <w:b/>
          <w:sz w:val="24"/>
          <w:szCs w:val="24"/>
        </w:rPr>
        <w:t xml:space="preserve">Résumé </w:t>
      </w:r>
    </w:p>
    <w:p w:rsidR="00950821" w:rsidRPr="000E045C" w:rsidRDefault="00950821" w:rsidP="000E045C">
      <w:pPr>
        <w:jc w:val="both"/>
        <w:rPr>
          <w:rFonts w:ascii="Times New Roman" w:hAnsi="Times New Roman" w:cs="Times New Roman"/>
          <w:sz w:val="24"/>
          <w:szCs w:val="24"/>
        </w:rPr>
      </w:pPr>
      <w:r w:rsidRPr="000E045C">
        <w:rPr>
          <w:rFonts w:ascii="Times New Roman" w:hAnsi="Times New Roman" w:cs="Times New Roman"/>
          <w:sz w:val="24"/>
          <w:szCs w:val="24"/>
        </w:rPr>
        <w:t>L</w:t>
      </w:r>
      <w:r w:rsidR="00271B3F">
        <w:rPr>
          <w:rFonts w:ascii="Times New Roman" w:hAnsi="Times New Roman" w:cs="Times New Roman"/>
          <w:sz w:val="24"/>
          <w:szCs w:val="24"/>
        </w:rPr>
        <w:t>’analyse de deu</w:t>
      </w:r>
      <w:r w:rsidRPr="000E045C">
        <w:rPr>
          <w:rFonts w:ascii="Times New Roman" w:hAnsi="Times New Roman" w:cs="Times New Roman"/>
          <w:sz w:val="24"/>
          <w:szCs w:val="24"/>
        </w:rPr>
        <w:t xml:space="preserve">x échantillons de sols provenant de la sebkha d’El </w:t>
      </w:r>
      <w:proofErr w:type="spellStart"/>
      <w:r w:rsidRPr="000E045C">
        <w:rPr>
          <w:rFonts w:ascii="Times New Roman" w:hAnsi="Times New Roman" w:cs="Times New Roman"/>
          <w:sz w:val="24"/>
          <w:szCs w:val="24"/>
        </w:rPr>
        <w:t>Goléa</w:t>
      </w:r>
      <w:proofErr w:type="spellEnd"/>
      <w:r w:rsidRPr="000E045C">
        <w:rPr>
          <w:rFonts w:ascii="Times New Roman" w:hAnsi="Times New Roman" w:cs="Times New Roman"/>
          <w:sz w:val="24"/>
          <w:szCs w:val="24"/>
        </w:rPr>
        <w:t xml:space="preserve"> et de Ain Salah considérés comme des environnements extrêmes du Sahara Algérien nous a permis d’isoler un total de 8 souches  d’</w:t>
      </w:r>
      <w:proofErr w:type="spellStart"/>
      <w:r w:rsidRPr="000E045C">
        <w:rPr>
          <w:rFonts w:ascii="Times New Roman" w:hAnsi="Times New Roman" w:cs="Times New Roman"/>
          <w:sz w:val="24"/>
          <w:szCs w:val="24"/>
        </w:rPr>
        <w:t>Actinobactéries</w:t>
      </w:r>
      <w:proofErr w:type="spellEnd"/>
      <w:r w:rsidRPr="000E045C">
        <w:rPr>
          <w:rFonts w:ascii="Times New Roman" w:hAnsi="Times New Roman" w:cs="Times New Roman"/>
          <w:sz w:val="24"/>
          <w:szCs w:val="24"/>
        </w:rPr>
        <w:t xml:space="preserve"> à une température de 30°C et en présence d’une concentration de 10% en Chlorure de Sodium</w:t>
      </w:r>
      <w:r w:rsidR="00147A66" w:rsidRPr="000E045C">
        <w:rPr>
          <w:rFonts w:ascii="Times New Roman" w:hAnsi="Times New Roman" w:cs="Times New Roman"/>
          <w:sz w:val="24"/>
          <w:szCs w:val="24"/>
        </w:rPr>
        <w:t>.</w:t>
      </w:r>
    </w:p>
    <w:p w:rsidR="00147A66" w:rsidRPr="00235CFB" w:rsidRDefault="00147A66" w:rsidP="000E045C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0E045C">
        <w:rPr>
          <w:rFonts w:ascii="Times New Roman" w:hAnsi="Times New Roman" w:cs="Times New Roman"/>
          <w:sz w:val="24"/>
          <w:szCs w:val="24"/>
        </w:rPr>
        <w:t xml:space="preserve">L’étude taxonomique des souches a été utilisée sur la base des caractéristiques morphologiques, physiologiques et moléculaires. Les résultats obtenus ont permis de rattacher 6 isolats au genre </w:t>
      </w:r>
      <w:proofErr w:type="spellStart"/>
      <w:r w:rsidRPr="00271B3F">
        <w:rPr>
          <w:rFonts w:ascii="Times New Roman" w:hAnsi="Times New Roman" w:cs="Times New Roman"/>
          <w:i/>
          <w:sz w:val="24"/>
          <w:szCs w:val="24"/>
        </w:rPr>
        <w:t>Nocardiopsis</w:t>
      </w:r>
      <w:proofErr w:type="spellEnd"/>
      <w:r w:rsidRPr="000E045C">
        <w:rPr>
          <w:rFonts w:ascii="Times New Roman" w:hAnsi="Times New Roman" w:cs="Times New Roman"/>
          <w:sz w:val="24"/>
          <w:szCs w:val="24"/>
        </w:rPr>
        <w:t xml:space="preserve"> (HR1, HR2, HR4, HR5, HR6 et HR7), un isolat au genre </w:t>
      </w:r>
      <w:proofErr w:type="spellStart"/>
      <w:r w:rsidRPr="00271B3F">
        <w:rPr>
          <w:rFonts w:ascii="Times New Roman" w:hAnsi="Times New Roman" w:cs="Times New Roman"/>
          <w:i/>
          <w:sz w:val="24"/>
          <w:szCs w:val="24"/>
        </w:rPr>
        <w:t>Saccharomonospora</w:t>
      </w:r>
      <w:proofErr w:type="spellEnd"/>
      <w:r w:rsidR="004E5ADE">
        <w:rPr>
          <w:rFonts w:ascii="Times New Roman" w:hAnsi="Times New Roman" w:cs="Times New Roman"/>
          <w:sz w:val="24"/>
          <w:szCs w:val="24"/>
        </w:rPr>
        <w:t xml:space="preserve"> (HR2'</w:t>
      </w:r>
      <w:r w:rsidRPr="000E045C">
        <w:rPr>
          <w:rFonts w:ascii="Times New Roman" w:hAnsi="Times New Roman" w:cs="Times New Roman"/>
          <w:sz w:val="24"/>
          <w:szCs w:val="24"/>
        </w:rPr>
        <w:t>). La souche HR3 n’a été rattachée à aucun genre du fait qu’elle se caractérise par une position taxonomique nouvelle et présente un taux de similarité de la séquenc</w:t>
      </w:r>
      <w:r w:rsidR="00A86467">
        <w:rPr>
          <w:rFonts w:ascii="Times New Roman" w:hAnsi="Times New Roman" w:cs="Times New Roman"/>
          <w:sz w:val="24"/>
          <w:szCs w:val="24"/>
        </w:rPr>
        <w:t xml:space="preserve">e du gène de l’ARNr 16S de 94,59% avec </w:t>
      </w:r>
      <w:proofErr w:type="spellStart"/>
      <w:r w:rsidR="00A86467" w:rsidRPr="00A86467">
        <w:rPr>
          <w:rFonts w:ascii="Times New Roman" w:hAnsi="Times New Roman" w:cs="Times New Roman"/>
          <w:i/>
          <w:sz w:val="24"/>
          <w:szCs w:val="24"/>
        </w:rPr>
        <w:t>Phytoactinopolysora</w:t>
      </w:r>
      <w:proofErr w:type="spellEnd"/>
      <w:r w:rsidR="00A86467" w:rsidRPr="00A8646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86467" w:rsidRPr="00A86467">
        <w:rPr>
          <w:rFonts w:ascii="Times New Roman" w:hAnsi="Times New Roman" w:cs="Times New Roman"/>
          <w:i/>
          <w:sz w:val="24"/>
          <w:szCs w:val="24"/>
        </w:rPr>
        <w:t>endophytica</w:t>
      </w:r>
      <w:proofErr w:type="spellEnd"/>
      <w:r w:rsidR="00A86467">
        <w:rPr>
          <w:rFonts w:ascii="Times New Roman" w:hAnsi="Times New Roman" w:cs="Times New Roman"/>
          <w:sz w:val="24"/>
          <w:szCs w:val="24"/>
        </w:rPr>
        <w:t>, 94,52</w:t>
      </w:r>
      <w:r w:rsidRPr="000E045C">
        <w:rPr>
          <w:rFonts w:ascii="Times New Roman" w:hAnsi="Times New Roman" w:cs="Times New Roman"/>
          <w:sz w:val="24"/>
          <w:szCs w:val="24"/>
        </w:rPr>
        <w:t xml:space="preserve">% avec </w:t>
      </w:r>
      <w:proofErr w:type="spellStart"/>
      <w:r w:rsidRPr="00235CFB">
        <w:rPr>
          <w:rFonts w:ascii="Times New Roman" w:hAnsi="Times New Roman" w:cs="Times New Roman"/>
          <w:i/>
          <w:sz w:val="24"/>
          <w:szCs w:val="24"/>
        </w:rPr>
        <w:t>Jiangella</w:t>
      </w:r>
      <w:proofErr w:type="spellEnd"/>
      <w:r w:rsidRPr="000E045C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B514E3" w:rsidRPr="00B514E3">
        <w:rPr>
          <w:rFonts w:ascii="Times New Roman" w:hAnsi="Times New Roman" w:cs="Times New Roman"/>
          <w:i/>
          <w:sz w:val="24"/>
          <w:szCs w:val="24"/>
        </w:rPr>
        <w:t>guanensis</w:t>
      </w:r>
      <w:proofErr w:type="spellEnd"/>
      <w:r w:rsidRPr="000E045C">
        <w:rPr>
          <w:rFonts w:ascii="Times New Roman" w:hAnsi="Times New Roman" w:cs="Times New Roman"/>
          <w:sz w:val="24"/>
          <w:szCs w:val="24"/>
        </w:rPr>
        <w:t xml:space="preserve"> et 94, </w:t>
      </w:r>
      <w:r w:rsidR="0089541B">
        <w:rPr>
          <w:rFonts w:ascii="Times New Roman" w:hAnsi="Times New Roman" w:cs="Times New Roman"/>
          <w:sz w:val="24"/>
          <w:szCs w:val="24"/>
        </w:rPr>
        <w:t>24</w:t>
      </w:r>
      <w:r w:rsidR="00235CFB">
        <w:rPr>
          <w:rFonts w:ascii="Times New Roman" w:hAnsi="Times New Roman" w:cs="Times New Roman"/>
          <w:sz w:val="24"/>
          <w:szCs w:val="24"/>
        </w:rPr>
        <w:t xml:space="preserve"> % avec </w:t>
      </w:r>
      <w:proofErr w:type="spellStart"/>
      <w:r w:rsidR="00235CFB" w:rsidRPr="00235CFB">
        <w:rPr>
          <w:rFonts w:ascii="Times New Roman" w:hAnsi="Times New Roman" w:cs="Times New Roman"/>
          <w:i/>
          <w:sz w:val="24"/>
          <w:szCs w:val="24"/>
        </w:rPr>
        <w:t>Haloactinopolyspora</w:t>
      </w:r>
      <w:proofErr w:type="spellEnd"/>
      <w:r w:rsidR="00235CFB" w:rsidRPr="00235CFB">
        <w:rPr>
          <w:rFonts w:ascii="Times New Roman" w:hAnsi="Times New Roman" w:cs="Times New Roman"/>
          <w:i/>
          <w:sz w:val="24"/>
          <w:szCs w:val="24"/>
        </w:rPr>
        <w:t> </w:t>
      </w:r>
      <w:proofErr w:type="spellStart"/>
      <w:r w:rsidR="00235CFB" w:rsidRPr="00235CFB">
        <w:rPr>
          <w:rFonts w:ascii="Times New Roman" w:hAnsi="Times New Roman" w:cs="Times New Roman"/>
          <w:i/>
          <w:sz w:val="24"/>
          <w:szCs w:val="24"/>
        </w:rPr>
        <w:t>alkaliphila</w:t>
      </w:r>
      <w:proofErr w:type="spellEnd"/>
      <w:r w:rsidR="00235CFB">
        <w:rPr>
          <w:rFonts w:ascii="Times New Roman" w:hAnsi="Times New Roman" w:cs="Times New Roman"/>
          <w:i/>
          <w:sz w:val="24"/>
          <w:szCs w:val="24"/>
        </w:rPr>
        <w:t>.</w:t>
      </w:r>
    </w:p>
    <w:p w:rsidR="00147A66" w:rsidRDefault="00147A66" w:rsidP="000E045C">
      <w:pPr>
        <w:jc w:val="both"/>
        <w:rPr>
          <w:rFonts w:ascii="Times New Roman" w:hAnsi="Times New Roman" w:cs="Times New Roman"/>
          <w:sz w:val="24"/>
          <w:szCs w:val="24"/>
        </w:rPr>
      </w:pPr>
      <w:r w:rsidRPr="000E045C">
        <w:rPr>
          <w:rFonts w:ascii="Times New Roman" w:hAnsi="Times New Roman" w:cs="Times New Roman"/>
          <w:sz w:val="24"/>
          <w:szCs w:val="24"/>
        </w:rPr>
        <w:t xml:space="preserve">Le potentiel des souches à produire des métabolites bioactifs a été entrepris </w:t>
      </w:r>
      <w:r w:rsidR="00EA789B" w:rsidRPr="000E045C">
        <w:rPr>
          <w:rFonts w:ascii="Times New Roman" w:hAnsi="Times New Roman" w:cs="Times New Roman"/>
          <w:sz w:val="24"/>
          <w:szCs w:val="24"/>
        </w:rPr>
        <w:t xml:space="preserve"> par les méthodes classiques et moléculaires en recherchant les gènes codant pour les PKS/NRPS. Ceci nous a permis de sélectionner la souche HR</w:t>
      </w:r>
      <w:r w:rsidR="000A3A69">
        <w:rPr>
          <w:rFonts w:ascii="Times New Roman" w:hAnsi="Times New Roman" w:cs="Times New Roman"/>
          <w:sz w:val="24"/>
          <w:szCs w:val="24"/>
        </w:rPr>
        <w:t>4 considérée comme la plus active</w:t>
      </w:r>
      <w:r w:rsidR="00EA789B" w:rsidRPr="000E045C">
        <w:rPr>
          <w:rFonts w:ascii="Times New Roman" w:hAnsi="Times New Roman" w:cs="Times New Roman"/>
          <w:sz w:val="24"/>
          <w:szCs w:val="24"/>
        </w:rPr>
        <w:t>.</w:t>
      </w:r>
    </w:p>
    <w:p w:rsidR="00EA789B" w:rsidRPr="00235CFB" w:rsidRDefault="00EA789B" w:rsidP="000E045C">
      <w:pPr>
        <w:jc w:val="both"/>
        <w:rPr>
          <w:rFonts w:ascii="Times New Roman" w:hAnsi="Times New Roman" w:cs="Times New Roman"/>
          <w:sz w:val="24"/>
          <w:szCs w:val="24"/>
        </w:rPr>
      </w:pPr>
      <w:r w:rsidRPr="000E045C">
        <w:rPr>
          <w:rFonts w:ascii="Times New Roman" w:hAnsi="Times New Roman" w:cs="Times New Roman"/>
          <w:sz w:val="24"/>
          <w:szCs w:val="24"/>
        </w:rPr>
        <w:t xml:space="preserve">Après purification des composés  élaborés par la souche HR4 par chromatographie liquide à haute pression </w:t>
      </w:r>
      <w:proofErr w:type="spellStart"/>
      <w:r w:rsidRPr="000E045C">
        <w:rPr>
          <w:rFonts w:ascii="Times New Roman" w:hAnsi="Times New Roman" w:cs="Times New Roman"/>
          <w:sz w:val="24"/>
          <w:szCs w:val="24"/>
        </w:rPr>
        <w:t>préparative</w:t>
      </w:r>
      <w:proofErr w:type="spellEnd"/>
      <w:r w:rsidRPr="000E045C">
        <w:rPr>
          <w:rFonts w:ascii="Times New Roman" w:hAnsi="Times New Roman" w:cs="Times New Roman"/>
          <w:sz w:val="24"/>
          <w:szCs w:val="24"/>
        </w:rPr>
        <w:t>, les structures chimiques de deux antibiotiques (HR4-9 et HR4-10) ont été déterminées après analyses spectroscopiques (RMN) et spectrométriques (Spectrométrie de masse haute résolution).</w:t>
      </w:r>
      <w:r w:rsidR="000E045C" w:rsidRPr="000E045C">
        <w:rPr>
          <w:rFonts w:ascii="Times New Roman" w:hAnsi="Times New Roman" w:cs="Times New Roman"/>
          <w:sz w:val="24"/>
          <w:szCs w:val="24"/>
        </w:rPr>
        <w:t xml:space="preserve"> L’un des antibiotiques en l’occurrence HR4-9 s’est avéré être un nouveau composé ayant une nouvelle configuration</w:t>
      </w:r>
      <w:r w:rsidR="00235CFB">
        <w:rPr>
          <w:rFonts w:ascii="Times New Roman" w:hAnsi="Times New Roman" w:cs="Times New Roman"/>
          <w:sz w:val="24"/>
          <w:szCs w:val="24"/>
        </w:rPr>
        <w:t xml:space="preserve"> et a été nommé le </w:t>
      </w:r>
      <w:r w:rsidR="00235CFB" w:rsidRPr="00235CFB">
        <w:rPr>
          <w:rFonts w:ascii="Times New Roman" w:hAnsi="Times New Roman" w:cs="Times New Roman"/>
          <w:sz w:val="24"/>
          <w:szCs w:val="24"/>
        </w:rPr>
        <w:t>(-)-7-deoxo-6-deoxy-7-hydroxy-8-</w:t>
      </w:r>
      <w:r w:rsidR="00235CFB" w:rsidRPr="00235CFB">
        <w:rPr>
          <w:rFonts w:ascii="Times New Roman" w:hAnsi="Times New Roman" w:cs="Times New Roman"/>
          <w:i/>
          <w:sz w:val="24"/>
          <w:szCs w:val="24"/>
        </w:rPr>
        <w:t>O</w:t>
      </w:r>
      <w:r w:rsidR="00235CFB" w:rsidRPr="00235CFB">
        <w:rPr>
          <w:rFonts w:ascii="Times New Roman" w:hAnsi="Times New Roman" w:cs="Times New Roman"/>
          <w:sz w:val="24"/>
          <w:szCs w:val="24"/>
        </w:rPr>
        <w:t>-methylrabelomycin.</w:t>
      </w:r>
    </w:p>
    <w:p w:rsidR="000E045C" w:rsidRDefault="000E045C" w:rsidP="000E045C">
      <w:pPr>
        <w:jc w:val="both"/>
        <w:rPr>
          <w:rFonts w:ascii="Times New Roman" w:hAnsi="Times New Roman" w:cs="Times New Roman"/>
          <w:sz w:val="24"/>
          <w:szCs w:val="24"/>
        </w:rPr>
      </w:pPr>
      <w:r w:rsidRPr="000E045C">
        <w:rPr>
          <w:rFonts w:ascii="Times New Roman" w:hAnsi="Times New Roman" w:cs="Times New Roman"/>
          <w:sz w:val="24"/>
          <w:szCs w:val="24"/>
        </w:rPr>
        <w:t xml:space="preserve">Les deux antibiotiques caractérisés font partie de la classe des </w:t>
      </w:r>
      <w:proofErr w:type="spellStart"/>
      <w:r w:rsidRPr="000E045C">
        <w:rPr>
          <w:rFonts w:ascii="Times New Roman" w:hAnsi="Times New Roman" w:cs="Times New Roman"/>
          <w:sz w:val="24"/>
          <w:szCs w:val="24"/>
        </w:rPr>
        <w:t>angucyclinones</w:t>
      </w:r>
      <w:proofErr w:type="spellEnd"/>
      <w:r w:rsidRPr="000E045C">
        <w:rPr>
          <w:rFonts w:ascii="Times New Roman" w:hAnsi="Times New Roman" w:cs="Times New Roman"/>
          <w:sz w:val="24"/>
          <w:szCs w:val="24"/>
        </w:rPr>
        <w:t xml:space="preserve"> qui sont des </w:t>
      </w:r>
      <w:proofErr w:type="spellStart"/>
      <w:r w:rsidRPr="000E045C">
        <w:rPr>
          <w:rFonts w:ascii="Times New Roman" w:hAnsi="Times New Roman" w:cs="Times New Roman"/>
          <w:sz w:val="24"/>
          <w:szCs w:val="24"/>
        </w:rPr>
        <w:t>polykétides</w:t>
      </w:r>
      <w:proofErr w:type="spellEnd"/>
      <w:r w:rsidRPr="000E045C">
        <w:rPr>
          <w:rFonts w:ascii="Times New Roman" w:hAnsi="Times New Roman" w:cs="Times New Roman"/>
          <w:sz w:val="24"/>
          <w:szCs w:val="24"/>
        </w:rPr>
        <w:t xml:space="preserve"> aromatiques connus pour leurs puissantes activit</w:t>
      </w:r>
      <w:r w:rsidR="00235CFB">
        <w:rPr>
          <w:rFonts w:ascii="Times New Roman" w:hAnsi="Times New Roman" w:cs="Times New Roman"/>
          <w:sz w:val="24"/>
          <w:szCs w:val="24"/>
        </w:rPr>
        <w:t xml:space="preserve">és antibiotique et </w:t>
      </w:r>
      <w:proofErr w:type="spellStart"/>
      <w:r w:rsidR="00235CFB">
        <w:rPr>
          <w:rFonts w:ascii="Times New Roman" w:hAnsi="Times New Roman" w:cs="Times New Roman"/>
          <w:sz w:val="24"/>
          <w:szCs w:val="24"/>
        </w:rPr>
        <w:t>antitumorale</w:t>
      </w:r>
      <w:proofErr w:type="spellEnd"/>
      <w:r w:rsidRPr="000E045C">
        <w:rPr>
          <w:rFonts w:ascii="Times New Roman" w:hAnsi="Times New Roman" w:cs="Times New Roman"/>
          <w:sz w:val="24"/>
          <w:szCs w:val="24"/>
        </w:rPr>
        <w:t>. Aussi, nous décrivons pour la première fois la production de ce type de molécules au sein</w:t>
      </w:r>
      <w:r w:rsidR="00976C5F">
        <w:rPr>
          <w:rFonts w:ascii="Times New Roman" w:hAnsi="Times New Roman" w:cs="Times New Roman"/>
          <w:sz w:val="24"/>
          <w:szCs w:val="24"/>
        </w:rPr>
        <w:t xml:space="preserve"> du genre</w:t>
      </w:r>
      <w:r w:rsidRPr="000E04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E045C">
        <w:rPr>
          <w:rFonts w:ascii="Times New Roman" w:hAnsi="Times New Roman" w:cs="Times New Roman"/>
          <w:i/>
          <w:sz w:val="24"/>
          <w:szCs w:val="24"/>
        </w:rPr>
        <w:t>Nocardiopsis</w:t>
      </w:r>
      <w:proofErr w:type="spellEnd"/>
      <w:r w:rsidRPr="000E045C">
        <w:rPr>
          <w:rFonts w:ascii="Times New Roman" w:hAnsi="Times New Roman" w:cs="Times New Roman"/>
          <w:sz w:val="24"/>
          <w:szCs w:val="24"/>
        </w:rPr>
        <w:t>.</w:t>
      </w:r>
    </w:p>
    <w:p w:rsidR="00271B3F" w:rsidRDefault="00271B3F" w:rsidP="000E045C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71B3F" w:rsidRDefault="00271B3F" w:rsidP="000E04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1B3F" w:rsidRDefault="00271B3F" w:rsidP="000E04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1B3F" w:rsidRDefault="00271B3F" w:rsidP="000E04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1B3F" w:rsidRDefault="00271B3F" w:rsidP="000E04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1B3F" w:rsidRDefault="00271B3F" w:rsidP="000E04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1B3F" w:rsidRDefault="00271B3F" w:rsidP="000E04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B396A" w:rsidRDefault="007B396A" w:rsidP="007B396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B39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821"/>
    <w:rsid w:val="000A3A69"/>
    <w:rsid w:val="000E045C"/>
    <w:rsid w:val="00147A66"/>
    <w:rsid w:val="00235CFB"/>
    <w:rsid w:val="00271B3F"/>
    <w:rsid w:val="002C5DCB"/>
    <w:rsid w:val="00372B72"/>
    <w:rsid w:val="004B244A"/>
    <w:rsid w:val="004E5ADE"/>
    <w:rsid w:val="00591CFB"/>
    <w:rsid w:val="007B396A"/>
    <w:rsid w:val="00847C01"/>
    <w:rsid w:val="0089541B"/>
    <w:rsid w:val="00950821"/>
    <w:rsid w:val="00976C5F"/>
    <w:rsid w:val="00A86467"/>
    <w:rsid w:val="00B514E3"/>
    <w:rsid w:val="00C261B6"/>
    <w:rsid w:val="00C51E58"/>
    <w:rsid w:val="00EA789B"/>
    <w:rsid w:val="00F57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517E85-C68F-4BBC-AA71-679B41BA5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302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PCLINE</Company>
  <LinksUpToDate>false</LinksUpToDate>
  <CharactersWithSpaces>1966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naima</cp:lastModifiedBy>
  <cp:revision>16</cp:revision>
  <dcterms:created xsi:type="dcterms:W3CDTF">2017-10-10T11:16:00Z</dcterms:created>
  <dcterms:modified xsi:type="dcterms:W3CDTF">2018-05-17T10:24:00Z</dcterms:modified>
</cp:coreProperties>
</file>