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1C20" w:rsidRPr="00203654" w:rsidRDefault="004A3242" w:rsidP="00041DAD">
      <w:pPr>
        <w:pStyle w:val="Style2"/>
        <w:widowControl/>
        <w:spacing w:before="110" w:line="360" w:lineRule="auto"/>
        <w:ind w:firstLine="0"/>
        <w:jc w:val="both"/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</w:pPr>
      <w:r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En utilisant la technique de diffracto</w:t>
      </w:r>
      <w:r w:rsidR="00580F9F"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métrie</w:t>
      </w:r>
      <w:r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des rayons X aux hautes températures pour suivre la nitruration carbothermique du dioxyde de titane, nous avons:</w:t>
      </w:r>
    </w:p>
    <w:p w:rsidR="00831C20" w:rsidRPr="00203654" w:rsidRDefault="002673BE" w:rsidP="00041DAD">
      <w:pPr>
        <w:pStyle w:val="Style3"/>
        <w:widowControl/>
        <w:numPr>
          <w:ilvl w:val="0"/>
          <w:numId w:val="1"/>
        </w:numPr>
        <w:tabs>
          <w:tab w:val="left" w:pos="168"/>
        </w:tabs>
        <w:spacing w:before="5" w:line="360" w:lineRule="auto"/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</w:pPr>
      <w:r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M</w:t>
      </w:r>
      <w:r w:rsidR="004A3242"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ontré que dans nos conditions expérimentales une réaction de transfert de carbone par l'intermédiaire de la phase gazeuse (couple </w:t>
      </w:r>
      <w:r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CO</w:t>
      </w:r>
      <w:r w:rsidR="004A3242"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/</w:t>
      </w:r>
      <w:r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CO2</w:t>
      </w:r>
      <w:r w:rsidR="004A3242"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) procède la réduction directe du dioxyde de titane par le graphite</w:t>
      </w:r>
      <w:r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.</w:t>
      </w:r>
    </w:p>
    <w:p w:rsidR="00831C20" w:rsidRPr="00203654" w:rsidRDefault="004A3242" w:rsidP="00041DAD">
      <w:pPr>
        <w:pStyle w:val="Style3"/>
        <w:widowControl/>
        <w:tabs>
          <w:tab w:val="left" w:pos="269"/>
        </w:tabs>
        <w:spacing w:line="360" w:lineRule="auto"/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</w:pPr>
      <w:r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-</w:t>
      </w:r>
      <w:r w:rsidR="002673BE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P</w:t>
      </w:r>
      <w:r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roposé un mécanisme réactionnel qui s'accorde bien avec les diagrammes thermodynamiques prévisionnels (que nous avons construits): il se forme, sous l'action de CO, les sous oxydes Ti0</w:t>
      </w:r>
      <w:r w:rsidRPr="002673BE">
        <w:rPr>
          <w:rStyle w:val="FontStyle12"/>
          <w:rFonts w:asciiTheme="majorBidi" w:hAnsiTheme="majorBidi" w:cstheme="majorBidi"/>
          <w:sz w:val="24"/>
          <w:szCs w:val="24"/>
          <w:vertAlign w:val="subscript"/>
          <w:lang w:val="fr-FR" w:eastAsia="fr-FR"/>
        </w:rPr>
        <w:t>2</w:t>
      </w:r>
      <w:r w:rsidR="002673BE" w:rsidRPr="002673BE">
        <w:rPr>
          <w:rStyle w:val="FontStyle12"/>
          <w:rFonts w:asciiTheme="majorBidi" w:hAnsiTheme="majorBidi" w:cstheme="majorBidi"/>
          <w:sz w:val="24"/>
          <w:szCs w:val="24"/>
          <w:vertAlign w:val="subscript"/>
          <w:lang w:val="fr-FR" w:eastAsia="fr-FR"/>
        </w:rPr>
        <w:t>-</w:t>
      </w:r>
      <w:r w:rsidRPr="002673BE">
        <w:rPr>
          <w:rStyle w:val="FontStyle12"/>
          <w:rFonts w:asciiTheme="majorBidi" w:hAnsiTheme="majorBidi" w:cstheme="majorBidi"/>
          <w:sz w:val="24"/>
          <w:szCs w:val="24"/>
          <w:vertAlign w:val="subscript"/>
          <w:lang w:val="fr-FR" w:eastAsia="fr-FR"/>
        </w:rPr>
        <w:t>x</w:t>
      </w:r>
      <w:r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quadratique. Ti</w:t>
      </w:r>
      <w:r w:rsidRPr="00203654">
        <w:rPr>
          <w:rStyle w:val="FontStyle12"/>
          <w:rFonts w:asciiTheme="majorBidi" w:hAnsiTheme="majorBidi" w:cstheme="majorBidi"/>
          <w:sz w:val="24"/>
          <w:szCs w:val="24"/>
          <w:vertAlign w:val="subscript"/>
          <w:lang w:val="fr-FR" w:eastAsia="fr-FR"/>
        </w:rPr>
        <w:t>n</w:t>
      </w:r>
      <w:r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0</w:t>
      </w:r>
      <w:r w:rsidRPr="00203654">
        <w:rPr>
          <w:rStyle w:val="FontStyle12"/>
          <w:rFonts w:asciiTheme="majorBidi" w:hAnsiTheme="majorBidi" w:cstheme="majorBidi"/>
          <w:sz w:val="24"/>
          <w:szCs w:val="24"/>
          <w:vertAlign w:val="subscript"/>
          <w:lang w:val="fr-FR" w:eastAsia="fr-FR"/>
        </w:rPr>
        <w:t>2</w:t>
      </w:r>
      <w:r w:rsidR="00580F9F" w:rsidRPr="00203654">
        <w:rPr>
          <w:rStyle w:val="FontStyle12"/>
          <w:rFonts w:asciiTheme="majorBidi" w:hAnsiTheme="majorBidi" w:cstheme="majorBidi"/>
          <w:sz w:val="24"/>
          <w:szCs w:val="24"/>
          <w:vertAlign w:val="subscript"/>
          <w:lang w:val="fr-FR" w:eastAsia="fr-FR"/>
        </w:rPr>
        <w:t>n-1</w:t>
      </w:r>
      <w:r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(avec </w:t>
      </w:r>
      <w:r w:rsidR="00580F9F"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9 </w:t>
      </w:r>
      <w:r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&gt;</w:t>
      </w:r>
      <w:r w:rsidR="002673BE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=</w:t>
      </w:r>
      <w:r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n &gt;</w:t>
      </w:r>
      <w:r w:rsidR="002673BE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=</w:t>
      </w:r>
      <w:r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4) tricliniques, </w:t>
      </w:r>
      <w:r w:rsidR="00580F9F"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B'</w:t>
      </w:r>
      <w:r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-Ti</w:t>
      </w:r>
      <w:r w:rsidRPr="00203654">
        <w:rPr>
          <w:rStyle w:val="FontStyle16"/>
          <w:rFonts w:asciiTheme="majorBidi" w:hAnsiTheme="majorBidi" w:cstheme="majorBidi"/>
          <w:sz w:val="24"/>
          <w:szCs w:val="24"/>
          <w:vertAlign w:val="subscript"/>
          <w:lang w:val="fr-FR" w:eastAsia="fr-FR"/>
        </w:rPr>
        <w:t>3</w:t>
      </w:r>
      <w:r w:rsidRPr="00203654">
        <w:rPr>
          <w:rStyle w:val="FontStyle16"/>
          <w:rFonts w:asciiTheme="majorBidi" w:hAnsiTheme="majorBidi" w:cstheme="majorBidi"/>
          <w:sz w:val="24"/>
          <w:szCs w:val="24"/>
          <w:lang w:val="fr-FR" w:eastAsia="fr-FR"/>
        </w:rPr>
        <w:t xml:space="preserve">05 </w:t>
      </w:r>
      <w:r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monoclinique et orthorhombique puis le mononitrure TiN à structure type NaCl, sous l'action de l'azote; le graphite n'intervient qu'à la dernière étape pour former, par substitution du carbone à l'azote , une solution solide monocarbonitrure de titane</w:t>
      </w:r>
      <w:r w:rsidR="002673BE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.</w:t>
      </w:r>
    </w:p>
    <w:p w:rsidR="00831C20" w:rsidRPr="00203654" w:rsidRDefault="004A3242" w:rsidP="00041DAD">
      <w:pPr>
        <w:pStyle w:val="Style3"/>
        <w:widowControl/>
        <w:numPr>
          <w:ilvl w:val="0"/>
          <w:numId w:val="2"/>
        </w:numPr>
        <w:tabs>
          <w:tab w:val="left" w:pos="158"/>
        </w:tabs>
        <w:spacing w:before="5" w:line="360" w:lineRule="auto"/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</w:pPr>
      <w:r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mesuré à différentes températures et discuté les paramètres cristallins de l'ensemble des phases observées</w:t>
      </w:r>
      <w:r w:rsidR="002673BE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</w:t>
      </w:r>
      <w:r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; les compositions de certaines d'entre elles ont été estimées en intégrant les données de la bibliographie</w:t>
      </w:r>
      <w:r w:rsidR="002673BE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.</w:t>
      </w:r>
    </w:p>
    <w:p w:rsidR="00831C20" w:rsidRPr="00203654" w:rsidRDefault="004A3242" w:rsidP="00041DAD">
      <w:pPr>
        <w:pStyle w:val="Style3"/>
        <w:widowControl/>
        <w:numPr>
          <w:ilvl w:val="0"/>
          <w:numId w:val="2"/>
        </w:numPr>
        <w:tabs>
          <w:tab w:val="left" w:pos="158"/>
        </w:tabs>
        <w:spacing w:line="360" w:lineRule="auto"/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</w:pPr>
      <w:r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bien mis en évidence la transition. </w:t>
      </w:r>
      <w:r w:rsidR="00580F9F"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B'-Ti</w:t>
      </w:r>
      <w:r w:rsidR="00580F9F" w:rsidRPr="00203654">
        <w:rPr>
          <w:rStyle w:val="FontStyle16"/>
          <w:rFonts w:asciiTheme="majorBidi" w:hAnsiTheme="majorBidi" w:cstheme="majorBidi"/>
          <w:sz w:val="24"/>
          <w:szCs w:val="24"/>
          <w:vertAlign w:val="subscript"/>
          <w:lang w:val="fr-FR" w:eastAsia="fr-FR"/>
        </w:rPr>
        <w:t>3</w:t>
      </w:r>
      <w:r w:rsidR="00580F9F" w:rsidRPr="00203654">
        <w:rPr>
          <w:rStyle w:val="FontStyle16"/>
          <w:rFonts w:asciiTheme="majorBidi" w:hAnsiTheme="majorBidi" w:cstheme="majorBidi"/>
          <w:sz w:val="24"/>
          <w:szCs w:val="24"/>
          <w:lang w:val="fr-FR" w:eastAsia="fr-FR"/>
        </w:rPr>
        <w:t>05</w:t>
      </w:r>
      <w:r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monoclinique</w:t>
      </w:r>
      <w:r w:rsidR="00580F9F"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=</w:t>
      </w:r>
      <w:r w:rsidR="002673BE"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B'-Ti</w:t>
      </w:r>
      <w:r w:rsidR="002673BE" w:rsidRPr="00203654">
        <w:rPr>
          <w:rStyle w:val="FontStyle16"/>
          <w:rFonts w:asciiTheme="majorBidi" w:hAnsiTheme="majorBidi" w:cstheme="majorBidi"/>
          <w:sz w:val="24"/>
          <w:szCs w:val="24"/>
          <w:vertAlign w:val="subscript"/>
          <w:lang w:val="fr-FR" w:eastAsia="fr-FR"/>
        </w:rPr>
        <w:t>3</w:t>
      </w:r>
      <w:r w:rsidR="002673BE" w:rsidRPr="00203654">
        <w:rPr>
          <w:rStyle w:val="FontStyle16"/>
          <w:rFonts w:asciiTheme="majorBidi" w:hAnsiTheme="majorBidi" w:cstheme="majorBidi"/>
          <w:sz w:val="24"/>
          <w:szCs w:val="24"/>
          <w:lang w:val="fr-FR" w:eastAsia="fr-FR"/>
        </w:rPr>
        <w:t>05</w:t>
      </w:r>
      <w:r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orthorhombique</w:t>
      </w:r>
      <w:r w:rsidR="00580F9F"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</w:t>
      </w:r>
      <w:r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qui dans nos conditions a lieu à </w:t>
      </w:r>
      <w:r w:rsidRPr="00203654">
        <w:rPr>
          <w:rStyle w:val="FontStyle13"/>
          <w:rFonts w:asciiTheme="majorBidi" w:hAnsiTheme="majorBidi" w:cstheme="majorBidi"/>
          <w:sz w:val="24"/>
          <w:szCs w:val="24"/>
          <w:lang w:val="fr-FR" w:eastAsia="fr-FR"/>
        </w:rPr>
        <w:t>1523 K</w:t>
      </w:r>
      <w:r w:rsidR="00580F9F"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.</w:t>
      </w:r>
    </w:p>
    <w:p w:rsidR="00203654" w:rsidRDefault="00203654" w:rsidP="00041DAD">
      <w:pPr>
        <w:pStyle w:val="Style3"/>
        <w:widowControl/>
        <w:numPr>
          <w:ilvl w:val="0"/>
          <w:numId w:val="2"/>
        </w:numPr>
        <w:tabs>
          <w:tab w:val="left" w:pos="158"/>
        </w:tabs>
        <w:spacing w:before="5" w:line="360" w:lineRule="auto"/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</w:pPr>
      <w:r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N</w:t>
      </w:r>
      <w:r w:rsidR="004A3242"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oté que des quatre oxydes réfractaires </w:t>
      </w:r>
      <w:r w:rsidR="00580F9F"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Ti</w:t>
      </w:r>
      <w:r w:rsidR="00580F9F" w:rsidRPr="002673BE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O</w:t>
      </w:r>
      <w:r w:rsidR="004A3242" w:rsidRPr="00203654">
        <w:rPr>
          <w:rStyle w:val="FontStyle12"/>
          <w:rFonts w:asciiTheme="majorBidi" w:hAnsiTheme="majorBidi" w:cstheme="majorBidi"/>
          <w:sz w:val="24"/>
          <w:szCs w:val="24"/>
          <w:vertAlign w:val="subscript"/>
          <w:lang w:val="fr-FR" w:eastAsia="fr-FR"/>
        </w:rPr>
        <w:t>2</w:t>
      </w:r>
      <w:r w:rsidR="004A3242"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. Zr0</w:t>
      </w:r>
      <w:r w:rsidR="004A3242" w:rsidRPr="00203654">
        <w:rPr>
          <w:rStyle w:val="FontStyle12"/>
          <w:rFonts w:asciiTheme="majorBidi" w:hAnsiTheme="majorBidi" w:cstheme="majorBidi"/>
          <w:sz w:val="24"/>
          <w:szCs w:val="24"/>
          <w:vertAlign w:val="subscript"/>
          <w:lang w:val="fr-FR" w:eastAsia="fr-FR"/>
        </w:rPr>
        <w:t>2</w:t>
      </w:r>
      <w:r w:rsidR="004A3242"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. </w:t>
      </w:r>
      <w:r w:rsidR="00580F9F"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H</w:t>
      </w:r>
      <w:r w:rsidR="004A3242"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f0</w:t>
      </w:r>
      <w:r w:rsidR="004A3242" w:rsidRPr="00203654">
        <w:rPr>
          <w:rStyle w:val="FontStyle12"/>
          <w:rFonts w:asciiTheme="majorBidi" w:hAnsiTheme="majorBidi" w:cstheme="majorBidi"/>
          <w:sz w:val="24"/>
          <w:szCs w:val="24"/>
          <w:vertAlign w:val="subscript"/>
          <w:lang w:val="fr-FR" w:eastAsia="fr-FR"/>
        </w:rPr>
        <w:t>2</w:t>
      </w:r>
      <w:r w:rsidR="004A3242"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et Th0</w:t>
      </w:r>
      <w:r w:rsidR="004A3242" w:rsidRPr="00203654">
        <w:rPr>
          <w:rStyle w:val="FontStyle12"/>
          <w:rFonts w:asciiTheme="majorBidi" w:hAnsiTheme="majorBidi" w:cstheme="majorBidi"/>
          <w:sz w:val="24"/>
          <w:szCs w:val="24"/>
          <w:vertAlign w:val="subscript"/>
          <w:lang w:val="fr-FR" w:eastAsia="fr-FR"/>
        </w:rPr>
        <w:t>2</w:t>
      </w:r>
      <w:r w:rsidR="004A3242"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. le rutile est celui dont la nitruration carbothermique se prête le mieux à une préparation du mono</w:t>
      </w:r>
      <w:r w:rsidR="004A3242"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softHyphen/>
        <w:t xml:space="preserve">nitrure. même si celui-ci est légèrement surstoechiométrique et contient en outre un peu de carbone ( composition voisine de </w:t>
      </w:r>
      <w:r w:rsidR="00580F9F"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T</w:t>
      </w:r>
      <w:r w:rsidR="004A3242"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i</w:t>
      </w:r>
      <w:r w:rsidR="00392A08" w:rsidRPr="00203654">
        <w:rPr>
          <w:rStyle w:val="FontStyle12"/>
          <w:rFonts w:asciiTheme="majorBidi" w:hAnsiTheme="majorBidi" w:cstheme="majorBidi"/>
          <w:sz w:val="24"/>
          <w:szCs w:val="24"/>
          <w:vertAlign w:val="subscript"/>
          <w:lang w:val="fr-FR" w:eastAsia="fr-FR"/>
        </w:rPr>
        <w:t>0.95</w:t>
      </w:r>
      <w:r w:rsidR="004A3242" w:rsidRPr="00203654">
        <w:rPr>
          <w:rStyle w:val="FontStyle14"/>
          <w:rFonts w:asciiTheme="majorBidi" w:hAnsiTheme="majorBidi" w:cstheme="majorBidi"/>
          <w:sz w:val="24"/>
          <w:szCs w:val="24"/>
          <w:lang w:val="fr-FR" w:eastAsia="fr-FR"/>
        </w:rPr>
        <w:t xml:space="preserve"> </w:t>
      </w:r>
      <w:r w:rsidR="004A3242" w:rsidRPr="00203654">
        <w:rPr>
          <w:rStyle w:val="FontStyle15"/>
          <w:rFonts w:asciiTheme="majorBidi" w:hAnsiTheme="majorBidi" w:cstheme="majorBidi"/>
          <w:sz w:val="24"/>
          <w:szCs w:val="24"/>
          <w:lang w:val="fr-FR" w:eastAsia="fr-FR"/>
        </w:rPr>
        <w:t>n</w:t>
      </w:r>
      <w:r w:rsidR="00392A08" w:rsidRPr="00203654">
        <w:rPr>
          <w:rStyle w:val="FontStyle15"/>
          <w:rFonts w:asciiTheme="majorBidi" w:hAnsiTheme="majorBidi" w:cstheme="majorBidi"/>
          <w:sz w:val="24"/>
          <w:szCs w:val="24"/>
          <w:vertAlign w:val="subscript"/>
          <w:lang w:val="fr-FR" w:eastAsia="fr-FR"/>
        </w:rPr>
        <w:t>0.95</w:t>
      </w:r>
      <w:r w:rsidR="004A3242" w:rsidRPr="00203654">
        <w:rPr>
          <w:rStyle w:val="FontStyle14"/>
          <w:rFonts w:asciiTheme="majorBidi" w:hAnsiTheme="majorBidi" w:cstheme="majorBidi"/>
          <w:sz w:val="24"/>
          <w:szCs w:val="24"/>
          <w:lang w:val="fr-FR" w:eastAsia="fr-FR"/>
        </w:rPr>
        <w:t xml:space="preserve"> </w:t>
      </w:r>
      <w:r w:rsidR="004A3242" w:rsidRPr="00203654">
        <w:rPr>
          <w:rStyle w:val="FontStyle15"/>
          <w:rFonts w:asciiTheme="majorBidi" w:hAnsiTheme="majorBidi" w:cstheme="majorBidi"/>
          <w:sz w:val="24"/>
          <w:szCs w:val="24"/>
          <w:lang w:val="fr-FR" w:eastAsia="fr-FR"/>
        </w:rPr>
        <w:t>c</w:t>
      </w:r>
      <w:r w:rsidR="00392A08" w:rsidRPr="00203654">
        <w:rPr>
          <w:rStyle w:val="FontStyle14"/>
          <w:rFonts w:asciiTheme="majorBidi" w:hAnsiTheme="majorBidi" w:cstheme="majorBidi"/>
          <w:sz w:val="24"/>
          <w:szCs w:val="24"/>
          <w:vertAlign w:val="subscript"/>
          <w:lang w:val="fr-FR" w:eastAsia="fr-FR"/>
        </w:rPr>
        <w:t>0.05</w:t>
      </w:r>
      <w:r w:rsidR="004A3242"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) </w:t>
      </w:r>
    </w:p>
    <w:p w:rsidR="00831C20" w:rsidRPr="00203654" w:rsidRDefault="004A3242" w:rsidP="00041DAD">
      <w:pPr>
        <w:pStyle w:val="Style3"/>
        <w:widowControl/>
        <w:tabs>
          <w:tab w:val="left" w:pos="158"/>
        </w:tabs>
        <w:spacing w:before="5" w:line="360" w:lineRule="auto"/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</w:pPr>
      <w:r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En effet , l'intervalle de température (1508&lt;T(K)&lt; 1883) dans lequel la phase 'TiN' se montre stable en la</w:t>
      </w:r>
      <w:r w:rsidR="0085358F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</w:t>
      </w:r>
      <w:r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seule présence de graphite et sous </w:t>
      </w:r>
      <w:r w:rsidRPr="00203654">
        <w:rPr>
          <w:rStyle w:val="FontStyle15"/>
          <w:rFonts w:asciiTheme="majorBidi" w:hAnsiTheme="majorBidi" w:cstheme="majorBidi"/>
          <w:spacing w:val="20"/>
          <w:sz w:val="24"/>
          <w:szCs w:val="24"/>
          <w:lang w:val="fr-FR" w:eastAsia="fr-FR"/>
        </w:rPr>
        <w:t>Pn</w:t>
      </w:r>
      <w:r w:rsidR="00392A08" w:rsidRPr="00203654">
        <w:rPr>
          <w:rStyle w:val="FontStyle15"/>
          <w:rFonts w:asciiTheme="majorBidi" w:hAnsiTheme="majorBidi" w:cstheme="majorBidi"/>
          <w:spacing w:val="20"/>
          <w:sz w:val="24"/>
          <w:szCs w:val="24"/>
          <w:vertAlign w:val="subscript"/>
          <w:lang w:val="fr-FR" w:eastAsia="fr-FR"/>
        </w:rPr>
        <w:t>2</w:t>
      </w:r>
      <w:r w:rsidR="002673BE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=</w:t>
      </w:r>
      <w:r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lO</w:t>
      </w:r>
      <w:r w:rsidR="00392A08" w:rsidRPr="00203654">
        <w:rPr>
          <w:rStyle w:val="FontStyle12"/>
          <w:rFonts w:asciiTheme="majorBidi" w:hAnsiTheme="majorBidi" w:cstheme="majorBidi"/>
          <w:sz w:val="24"/>
          <w:szCs w:val="24"/>
          <w:vertAlign w:val="superscript"/>
          <w:lang w:val="fr-FR" w:eastAsia="fr-FR"/>
        </w:rPr>
        <w:t>5</w:t>
      </w:r>
      <w:r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est très supérieur à celui des composés</w:t>
      </w:r>
    </w:p>
    <w:p w:rsidR="00831C20" w:rsidRPr="00203654" w:rsidRDefault="00392A08" w:rsidP="00041DAD">
      <w:pPr>
        <w:pStyle w:val="Style5"/>
        <w:widowControl/>
        <w:spacing w:before="115" w:line="360" w:lineRule="auto"/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</w:pPr>
      <w:r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homologues 'ZrN' (1573&lt;</w:t>
      </w:r>
      <w:r w:rsidR="002673BE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=</w:t>
      </w:r>
      <w:r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T(K)&lt;</w:t>
      </w:r>
      <w:r w:rsidR="002673BE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=</w:t>
      </w:r>
      <w:r w:rsidR="004A3242"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I673K [23] ) et</w:t>
      </w:r>
      <w:r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'H</w:t>
      </w:r>
      <w:r w:rsidR="004A3242"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fN' (16I3&lt; T(K) &lt;.1723K [24]), la phase 'T</w:t>
      </w:r>
      <w:r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h</w:t>
      </w:r>
      <w:r w:rsidR="004A3242"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N' étant, quant à elle, instable dans de telles conditions [22] </w:t>
      </w:r>
    </w:p>
    <w:p w:rsidR="00354BCB" w:rsidRPr="00203654" w:rsidRDefault="004A3242" w:rsidP="00041DAD">
      <w:pPr>
        <w:pStyle w:val="Style3"/>
        <w:widowControl/>
        <w:tabs>
          <w:tab w:val="left" w:pos="235"/>
        </w:tabs>
        <w:spacing w:line="360" w:lineRule="auto"/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</w:pPr>
      <w:r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-</w:t>
      </w:r>
      <w:r w:rsidRPr="00203654">
        <w:rPr>
          <w:rStyle w:val="FontStyle12"/>
          <w:rFonts w:asciiTheme="majorBidi" w:hAnsiTheme="majorBidi" w:cstheme="majorBidi"/>
          <w:spacing w:val="0"/>
          <w:sz w:val="24"/>
          <w:szCs w:val="24"/>
          <w:lang w:val="fr-FR" w:eastAsia="fr-FR"/>
        </w:rPr>
        <w:tab/>
      </w:r>
      <w:r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noté également que par la recherche de données expérimentales relatives aux grandeurs de mélange</w:t>
      </w:r>
      <w:r w:rsidR="00041DAD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</w:t>
      </w:r>
      <w:r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TiN+TiC on pourrait effectuer un traitement thermodynamique correct de la solution solide Ti-C</w:t>
      </w:r>
      <w:r w:rsidRPr="00203654">
        <w:rPr>
          <w:rStyle w:val="FontStyle15"/>
          <w:rFonts w:asciiTheme="majorBidi" w:hAnsiTheme="majorBidi" w:cstheme="majorBidi"/>
          <w:sz w:val="24"/>
          <w:szCs w:val="24"/>
          <w:lang w:val="fr-FR" w:eastAsia="fr-FR"/>
        </w:rPr>
        <w:t xml:space="preserve">-n </w:t>
      </w:r>
      <w:r w:rsidRPr="00203654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et ainsi valoriser nos mesures de paramètres en relation avec les compositions à T donnée.</w:t>
      </w:r>
    </w:p>
    <w:sectPr w:rsidR="00354BCB" w:rsidRPr="00203654" w:rsidSect="00831C20">
      <w:type w:val="continuous"/>
      <w:pgSz w:w="11905" w:h="16837"/>
      <w:pgMar w:top="1143" w:right="1563" w:bottom="1125" w:left="1271" w:header="720" w:footer="720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7878" w:rsidRDefault="00DB7878">
      <w:r>
        <w:separator/>
      </w:r>
    </w:p>
  </w:endnote>
  <w:endnote w:type="continuationSeparator" w:id="1">
    <w:p w:rsidR="00DB7878" w:rsidRDefault="00DB78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7878" w:rsidRDefault="00DB7878">
      <w:r>
        <w:separator/>
      </w:r>
    </w:p>
  </w:footnote>
  <w:footnote w:type="continuationSeparator" w:id="1">
    <w:p w:rsidR="00DB7878" w:rsidRDefault="00DB787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A5EA14E"/>
    <w:lvl w:ilvl="0">
      <w:numFmt w:val="bullet"/>
      <w:lvlText w:val="*"/>
      <w:lvlJc w:val="left"/>
    </w:lvl>
  </w:abstractNum>
  <w:num w:numId="1">
    <w:abstractNumId w:val="0"/>
    <w:lvlOverride w:ilvl="0">
      <w:lvl w:ilvl="0">
        <w:start w:val="65535"/>
        <w:numFmt w:val="bullet"/>
        <w:lvlText w:val="-"/>
        <w:legacy w:legacy="1" w:legacySpace="0" w:legacyIndent="168"/>
        <w:lvlJc w:val="left"/>
        <w:rPr>
          <w:rFonts w:ascii="Times New Roman" w:hAnsi="Times New Roman" w:cs="Times New Roman" w:hint="default"/>
        </w:rPr>
      </w:lvl>
    </w:lvlOverride>
  </w:num>
  <w:num w:numId="2">
    <w:abstractNumId w:val="0"/>
    <w:lvlOverride w:ilvl="0">
      <w:lvl w:ilvl="0">
        <w:start w:val="65535"/>
        <w:numFmt w:val="bullet"/>
        <w:lvlText w:val="-"/>
        <w:legacy w:legacy="1" w:legacySpace="0" w:legacyIndent="158"/>
        <w:lvlJc w:val="left"/>
        <w:rPr>
          <w:rFonts w:ascii="Times New Roman" w:hAnsi="Times New Roman" w:cs="Times New Roman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adjustLineHeightInTable/>
    <w:useFELayout/>
  </w:compat>
  <w:rsids>
    <w:rsidRoot w:val="00354BCB"/>
    <w:rsid w:val="00041DAD"/>
    <w:rsid w:val="00203654"/>
    <w:rsid w:val="002673BE"/>
    <w:rsid w:val="00354BCB"/>
    <w:rsid w:val="00392A08"/>
    <w:rsid w:val="004A3242"/>
    <w:rsid w:val="00580F9F"/>
    <w:rsid w:val="00831C20"/>
    <w:rsid w:val="0085358F"/>
    <w:rsid w:val="00DB78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1C20"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1">
    <w:name w:val="Style1"/>
    <w:basedOn w:val="Normal"/>
    <w:uiPriority w:val="99"/>
    <w:rsid w:val="00831C20"/>
  </w:style>
  <w:style w:type="paragraph" w:customStyle="1" w:styleId="Style2">
    <w:name w:val="Style2"/>
    <w:basedOn w:val="Normal"/>
    <w:uiPriority w:val="99"/>
    <w:rsid w:val="00831C20"/>
    <w:pPr>
      <w:spacing w:line="442" w:lineRule="exact"/>
      <w:ind w:firstLine="710"/>
    </w:pPr>
  </w:style>
  <w:style w:type="paragraph" w:customStyle="1" w:styleId="Style3">
    <w:name w:val="Style3"/>
    <w:basedOn w:val="Normal"/>
    <w:uiPriority w:val="99"/>
    <w:rsid w:val="00831C20"/>
    <w:pPr>
      <w:spacing w:line="442" w:lineRule="exact"/>
      <w:jc w:val="both"/>
    </w:pPr>
  </w:style>
  <w:style w:type="paragraph" w:customStyle="1" w:styleId="Style4">
    <w:name w:val="Style4"/>
    <w:basedOn w:val="Normal"/>
    <w:uiPriority w:val="99"/>
    <w:rsid w:val="00831C20"/>
  </w:style>
  <w:style w:type="paragraph" w:customStyle="1" w:styleId="Style5">
    <w:name w:val="Style5"/>
    <w:basedOn w:val="Normal"/>
    <w:uiPriority w:val="99"/>
    <w:rsid w:val="00831C20"/>
    <w:pPr>
      <w:spacing w:line="446" w:lineRule="exact"/>
      <w:jc w:val="both"/>
    </w:pPr>
  </w:style>
  <w:style w:type="character" w:customStyle="1" w:styleId="FontStyle11">
    <w:name w:val="Font Style11"/>
    <w:basedOn w:val="Policepardfaut"/>
    <w:uiPriority w:val="99"/>
    <w:rsid w:val="00831C20"/>
    <w:rPr>
      <w:rFonts w:ascii="Times New Roman" w:hAnsi="Times New Roman" w:cs="Times New Roman"/>
      <w:b/>
      <w:bCs/>
      <w:sz w:val="24"/>
      <w:szCs w:val="24"/>
      <w:lang w:bidi="ar-SA"/>
    </w:rPr>
  </w:style>
  <w:style w:type="character" w:customStyle="1" w:styleId="FontStyle12">
    <w:name w:val="Font Style12"/>
    <w:basedOn w:val="Policepardfaut"/>
    <w:uiPriority w:val="99"/>
    <w:rsid w:val="00831C20"/>
    <w:rPr>
      <w:rFonts w:ascii="Times New Roman" w:hAnsi="Times New Roman" w:cs="Times New Roman"/>
      <w:spacing w:val="20"/>
      <w:sz w:val="20"/>
      <w:szCs w:val="20"/>
      <w:lang w:bidi="ar-SA"/>
    </w:rPr>
  </w:style>
  <w:style w:type="character" w:customStyle="1" w:styleId="FontStyle13">
    <w:name w:val="Font Style13"/>
    <w:basedOn w:val="Policepardfaut"/>
    <w:uiPriority w:val="99"/>
    <w:rsid w:val="00831C20"/>
    <w:rPr>
      <w:rFonts w:ascii="Times New Roman" w:hAnsi="Times New Roman" w:cs="Times New Roman"/>
      <w:spacing w:val="20"/>
      <w:sz w:val="20"/>
      <w:szCs w:val="20"/>
      <w:lang w:bidi="ar-SA"/>
    </w:rPr>
  </w:style>
  <w:style w:type="character" w:customStyle="1" w:styleId="FontStyle14">
    <w:name w:val="Font Style14"/>
    <w:basedOn w:val="Policepardfaut"/>
    <w:uiPriority w:val="99"/>
    <w:rsid w:val="00831C20"/>
    <w:rPr>
      <w:rFonts w:ascii="Constantia" w:hAnsi="Constantia" w:cs="Constantia"/>
      <w:sz w:val="16"/>
      <w:szCs w:val="16"/>
      <w:lang w:bidi="ar-SA"/>
    </w:rPr>
  </w:style>
  <w:style w:type="character" w:customStyle="1" w:styleId="FontStyle15">
    <w:name w:val="Font Style15"/>
    <w:basedOn w:val="Policepardfaut"/>
    <w:uiPriority w:val="99"/>
    <w:rsid w:val="00831C20"/>
    <w:rPr>
      <w:rFonts w:ascii="Constantia" w:hAnsi="Constantia" w:cs="Constantia"/>
      <w:smallCaps/>
      <w:sz w:val="28"/>
      <w:szCs w:val="28"/>
      <w:lang w:bidi="ar-SA"/>
    </w:rPr>
  </w:style>
  <w:style w:type="character" w:customStyle="1" w:styleId="FontStyle16">
    <w:name w:val="Font Style16"/>
    <w:basedOn w:val="Policepardfaut"/>
    <w:uiPriority w:val="99"/>
    <w:rsid w:val="00831C20"/>
    <w:rPr>
      <w:rFonts w:ascii="Times New Roman" w:hAnsi="Times New Roman" w:cs="Times New Roman"/>
      <w:sz w:val="20"/>
      <w:szCs w:val="20"/>
      <w:lang w:bidi="ar-SA"/>
    </w:rPr>
  </w:style>
  <w:style w:type="character" w:styleId="Lienhypertexte">
    <w:name w:val="Hyperlink"/>
    <w:basedOn w:val="Policepardfaut"/>
    <w:uiPriority w:val="99"/>
    <w:rsid w:val="00831C20"/>
    <w:rPr>
      <w:color w:val="0066CC"/>
      <w:u w:val="single"/>
    </w:rPr>
  </w:style>
  <w:style w:type="paragraph" w:styleId="En-tte">
    <w:name w:val="header"/>
    <w:basedOn w:val="Normal"/>
    <w:link w:val="En-tteCar"/>
    <w:uiPriority w:val="99"/>
    <w:semiHidden/>
    <w:unhideWhenUsed/>
    <w:rsid w:val="00203654"/>
    <w:pPr>
      <w:tabs>
        <w:tab w:val="center" w:pos="4153"/>
        <w:tab w:val="right" w:pos="8306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203654"/>
    <w:rPr>
      <w:rFonts w:hAnsi="Times New Roman" w:cs="Times New Roman"/>
      <w:sz w:val="24"/>
      <w:szCs w:val="24"/>
    </w:rPr>
  </w:style>
  <w:style w:type="paragraph" w:styleId="Pieddepage">
    <w:name w:val="footer"/>
    <w:basedOn w:val="Normal"/>
    <w:link w:val="PieddepageCar"/>
    <w:uiPriority w:val="99"/>
    <w:semiHidden/>
    <w:unhideWhenUsed/>
    <w:rsid w:val="00203654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203654"/>
    <w:rPr>
      <w:rFonts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322</Words>
  <Characters>1838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7</cp:revision>
  <dcterms:created xsi:type="dcterms:W3CDTF">2017-01-05T11:54:00Z</dcterms:created>
  <dcterms:modified xsi:type="dcterms:W3CDTF">2017-01-05T13:11:00Z</dcterms:modified>
</cp:coreProperties>
</file>