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105" w:rsidRDefault="00F43105">
      <w:pPr>
        <w:pStyle w:val="Style1"/>
        <w:widowControl/>
        <w:ind w:left="4037"/>
        <w:jc w:val="both"/>
        <w:rPr>
          <w:rStyle w:val="FontStyle11"/>
          <w:lang w:val="fr-FR" w:eastAsia="fr-FR"/>
        </w:rPr>
      </w:pPr>
    </w:p>
    <w:p w:rsidR="00F43105" w:rsidRDefault="00F43105">
      <w:pPr>
        <w:pStyle w:val="Style1"/>
        <w:widowControl/>
        <w:ind w:left="4037"/>
        <w:jc w:val="both"/>
        <w:rPr>
          <w:rStyle w:val="FontStyle11"/>
          <w:lang w:val="fr-FR" w:eastAsia="fr-FR"/>
        </w:rPr>
      </w:pPr>
    </w:p>
    <w:p w:rsidR="00F43105" w:rsidRDefault="00F43105">
      <w:pPr>
        <w:pStyle w:val="Style1"/>
        <w:widowControl/>
        <w:ind w:left="4037"/>
        <w:jc w:val="both"/>
        <w:rPr>
          <w:rStyle w:val="FontStyle11"/>
          <w:lang w:val="fr-FR" w:eastAsia="fr-FR"/>
        </w:rPr>
      </w:pPr>
    </w:p>
    <w:p w:rsidR="00F43105" w:rsidRDefault="00F43105">
      <w:pPr>
        <w:pStyle w:val="Style1"/>
        <w:widowControl/>
        <w:ind w:left="4037"/>
        <w:jc w:val="both"/>
        <w:rPr>
          <w:rStyle w:val="FontStyle11"/>
          <w:lang w:val="fr-FR" w:eastAsia="fr-FR"/>
        </w:rPr>
      </w:pPr>
    </w:p>
    <w:p w:rsidR="00000000" w:rsidRPr="00F43105" w:rsidRDefault="0027268F">
      <w:pPr>
        <w:pStyle w:val="Style1"/>
        <w:widowControl/>
        <w:ind w:left="4037"/>
        <w:jc w:val="both"/>
        <w:rPr>
          <w:rStyle w:val="FontStyle11"/>
          <w:b/>
          <w:bCs/>
          <w:sz w:val="32"/>
          <w:szCs w:val="32"/>
          <w:u w:val="single"/>
          <w:lang w:val="fr-FR" w:eastAsia="fr-FR"/>
        </w:rPr>
      </w:pPr>
      <w:r w:rsidRPr="00F43105">
        <w:rPr>
          <w:rStyle w:val="FontStyle11"/>
          <w:b/>
          <w:bCs/>
          <w:sz w:val="32"/>
          <w:szCs w:val="32"/>
          <w:u w:val="single"/>
          <w:lang w:val="fr-FR" w:eastAsia="fr-FR"/>
        </w:rPr>
        <w:t>RESUME</w:t>
      </w:r>
    </w:p>
    <w:p w:rsidR="00000000" w:rsidRPr="00F43105" w:rsidRDefault="0027268F">
      <w:pPr>
        <w:pStyle w:val="Style2"/>
        <w:widowControl/>
        <w:spacing w:line="240" w:lineRule="exact"/>
        <w:ind w:right="5"/>
        <w:rPr>
          <w:sz w:val="20"/>
          <w:szCs w:val="20"/>
          <w:lang w:val="fr-FR"/>
        </w:rPr>
      </w:pPr>
    </w:p>
    <w:p w:rsidR="00000000" w:rsidRPr="00F43105" w:rsidRDefault="0027268F">
      <w:pPr>
        <w:pStyle w:val="Style2"/>
        <w:widowControl/>
        <w:spacing w:line="240" w:lineRule="exact"/>
        <w:ind w:right="5"/>
        <w:rPr>
          <w:sz w:val="20"/>
          <w:szCs w:val="20"/>
          <w:lang w:val="fr-FR"/>
        </w:rPr>
      </w:pPr>
    </w:p>
    <w:p w:rsidR="00000000" w:rsidRPr="00F43105" w:rsidRDefault="0027268F">
      <w:pPr>
        <w:pStyle w:val="Style2"/>
        <w:widowControl/>
        <w:spacing w:line="240" w:lineRule="exact"/>
        <w:ind w:right="5"/>
        <w:rPr>
          <w:sz w:val="20"/>
          <w:szCs w:val="20"/>
          <w:lang w:val="fr-FR"/>
        </w:rPr>
      </w:pPr>
    </w:p>
    <w:p w:rsidR="00000000" w:rsidRPr="00F43105" w:rsidRDefault="0027268F">
      <w:pPr>
        <w:pStyle w:val="Style2"/>
        <w:widowControl/>
        <w:spacing w:before="86" w:line="418" w:lineRule="exact"/>
        <w:ind w:right="5"/>
        <w:rPr>
          <w:rStyle w:val="FontStyle11"/>
          <w:sz w:val="28"/>
          <w:szCs w:val="28"/>
          <w:lang w:val="fr-FR" w:eastAsia="fr-FR"/>
        </w:rPr>
      </w:pPr>
      <w:r w:rsidRPr="00F43105">
        <w:rPr>
          <w:rStyle w:val="FontStyle11"/>
          <w:sz w:val="28"/>
          <w:szCs w:val="28"/>
          <w:lang w:val="fr-FR" w:eastAsia="fr-FR"/>
        </w:rPr>
        <w:t>Deux modèles théoriques sont utilisés dans le présent travail, pour simuler numériquement un échangeur dynamique à</w:t>
      </w:r>
      <w:r w:rsidRPr="00F43105">
        <w:rPr>
          <w:rStyle w:val="FontStyle11"/>
          <w:sz w:val="28"/>
          <w:szCs w:val="28"/>
          <w:lang w:val="fr-FR" w:eastAsia="fr-FR"/>
        </w:rPr>
        <w:t xml:space="preserve"> contact direct entre gaz et sel initialement fondu, circulant soit à co soit à contre courant. Le premier modèle consiste à déterminer des grandeurs moyennes surfaciques de l'écoulement en supposant une cristallisation de particules du sel à la températur</w:t>
      </w:r>
      <w:r w:rsidRPr="00F43105">
        <w:rPr>
          <w:rStyle w:val="FontStyle11"/>
          <w:sz w:val="28"/>
          <w:szCs w:val="28"/>
          <w:lang w:val="fr-FR" w:eastAsia="fr-FR"/>
        </w:rPr>
        <w:t>e de fusion T</w:t>
      </w:r>
      <w:r w:rsidRPr="00F43105">
        <w:rPr>
          <w:rStyle w:val="FontStyle11"/>
          <w:sz w:val="28"/>
          <w:szCs w:val="28"/>
          <w:vertAlign w:val="subscript"/>
          <w:lang w:val="fr-FR" w:eastAsia="fr-FR"/>
        </w:rPr>
        <w:t>F</w:t>
      </w:r>
      <w:r w:rsidRPr="00F43105">
        <w:rPr>
          <w:rStyle w:val="FontStyle11"/>
          <w:sz w:val="28"/>
          <w:szCs w:val="28"/>
          <w:lang w:val="es-ES_tradnl" w:eastAsia="fr-FR"/>
        </w:rPr>
        <w:t xml:space="preserve"> ,</w:t>
      </w:r>
      <w:r w:rsidRPr="00F43105">
        <w:rPr>
          <w:rStyle w:val="FontStyle11"/>
          <w:sz w:val="28"/>
          <w:szCs w:val="28"/>
          <w:lang w:val="fr-FR" w:eastAsia="fr-FR"/>
        </w:rPr>
        <w:t xml:space="preserve"> alors que le deuxième modèle consiste à admettre un profil parabolique de la température dans la croûte solidifiée de la particule, ce qui explique une libération simultanée des chaleurs sensibles et latente. Le sel est injecté dans la col</w:t>
      </w:r>
      <w:r w:rsidRPr="00F43105">
        <w:rPr>
          <w:rStyle w:val="FontStyle11"/>
          <w:sz w:val="28"/>
          <w:szCs w:val="28"/>
          <w:lang w:val="fr-FR" w:eastAsia="fr-FR"/>
        </w:rPr>
        <w:t>onne d'échange à une température supérieure à sa température de fusion en vue de récupérer principalement sa chaleur latente de fusion, ceci est obtenu malgré la mauvaise conductivité du sel et le coefficient de transfert thermique médiocre du gaz, par pul</w:t>
      </w:r>
      <w:r w:rsidRPr="00F43105">
        <w:rPr>
          <w:rStyle w:val="FontStyle11"/>
          <w:sz w:val="28"/>
          <w:szCs w:val="28"/>
          <w:lang w:val="fr-FR" w:eastAsia="fr-FR"/>
        </w:rPr>
        <w:t>vérisation du sel en fines particules, ce qui fournit une surface de contact gaz-gouttes très importante.</w:t>
      </w:r>
    </w:p>
    <w:p w:rsidR="00000000" w:rsidRPr="00F43105" w:rsidRDefault="0027268F">
      <w:pPr>
        <w:pStyle w:val="Style2"/>
        <w:widowControl/>
        <w:spacing w:line="240" w:lineRule="exact"/>
        <w:ind w:firstLine="446"/>
        <w:rPr>
          <w:sz w:val="28"/>
          <w:szCs w:val="28"/>
          <w:lang w:val="fr-FR"/>
        </w:rPr>
      </w:pPr>
    </w:p>
    <w:p w:rsidR="00000000" w:rsidRPr="00F43105" w:rsidRDefault="0027268F">
      <w:pPr>
        <w:pStyle w:val="Style2"/>
        <w:widowControl/>
        <w:spacing w:before="187" w:line="413" w:lineRule="exact"/>
        <w:ind w:firstLine="446"/>
        <w:rPr>
          <w:rStyle w:val="FontStyle11"/>
          <w:sz w:val="28"/>
          <w:szCs w:val="28"/>
          <w:lang w:val="fr-FR" w:eastAsia="fr-FR"/>
        </w:rPr>
      </w:pPr>
      <w:r w:rsidRPr="00F43105">
        <w:rPr>
          <w:rStyle w:val="FontStyle11"/>
          <w:sz w:val="28"/>
          <w:szCs w:val="28"/>
          <w:lang w:val="fr-FR" w:eastAsia="fr-FR"/>
        </w:rPr>
        <w:t>Les programmes de calcul élaborés nous permettent de rechercher les conditions d'utilisation optimales, de voir l'influence des différents paramètres</w:t>
      </w:r>
      <w:r w:rsidRPr="00F43105">
        <w:rPr>
          <w:rStyle w:val="FontStyle11"/>
          <w:sz w:val="28"/>
          <w:szCs w:val="28"/>
          <w:lang w:val="fr-FR" w:eastAsia="fr-FR"/>
        </w:rPr>
        <w:t xml:space="preserve"> d'entrée sur les performances de l'échangeur et de conclure que l'échangeur à contre courant est plus intéressant que l'échangeur à co-courant, malgré toutes les difficultés de sa mise en œuvre.</w:t>
      </w:r>
    </w:p>
    <w:p w:rsidR="00000000" w:rsidRPr="00F43105" w:rsidRDefault="0027268F">
      <w:pPr>
        <w:pStyle w:val="Style2"/>
        <w:widowControl/>
        <w:spacing w:line="240" w:lineRule="exact"/>
        <w:ind w:firstLine="446"/>
        <w:rPr>
          <w:sz w:val="28"/>
          <w:szCs w:val="28"/>
          <w:lang w:val="fr-FR"/>
        </w:rPr>
      </w:pPr>
    </w:p>
    <w:p w:rsidR="00F43105" w:rsidRPr="00F43105" w:rsidRDefault="0027268F">
      <w:pPr>
        <w:pStyle w:val="Style2"/>
        <w:widowControl/>
        <w:spacing w:before="192" w:line="413" w:lineRule="exact"/>
        <w:ind w:firstLine="446"/>
        <w:rPr>
          <w:rStyle w:val="FontStyle11"/>
          <w:sz w:val="28"/>
          <w:szCs w:val="28"/>
          <w:lang w:val="fr-FR" w:eastAsia="fr-FR"/>
        </w:rPr>
      </w:pPr>
      <w:r w:rsidRPr="00F43105">
        <w:rPr>
          <w:rStyle w:val="FontStyle11"/>
          <w:sz w:val="28"/>
          <w:szCs w:val="28"/>
          <w:lang w:val="fr-FR" w:eastAsia="fr-FR"/>
        </w:rPr>
        <w:t>La comparaison entre nos résultats théoriques et les résult</w:t>
      </w:r>
      <w:r w:rsidRPr="00F43105">
        <w:rPr>
          <w:rStyle w:val="FontStyle11"/>
          <w:sz w:val="28"/>
          <w:szCs w:val="28"/>
          <w:lang w:val="fr-FR" w:eastAsia="fr-FR"/>
        </w:rPr>
        <w:t>ats expérimentaux</w:t>
      </w:r>
      <w:r w:rsidRPr="00F43105">
        <w:rPr>
          <w:rStyle w:val="FontStyle11"/>
          <w:sz w:val="28"/>
          <w:szCs w:val="28"/>
          <w:lang w:val="es-ES_tradnl" w:eastAsia="fr-FR"/>
        </w:rPr>
        <w:t xml:space="preserve"> [3]</w:t>
      </w:r>
      <w:r w:rsidRPr="00F43105">
        <w:rPr>
          <w:rStyle w:val="FontStyle11"/>
          <w:sz w:val="28"/>
          <w:szCs w:val="28"/>
          <w:lang w:val="fr-FR" w:eastAsia="fr-FR"/>
        </w:rPr>
        <w:t xml:space="preserve"> et</w:t>
      </w:r>
      <w:r w:rsidRPr="00F43105">
        <w:rPr>
          <w:rStyle w:val="FontStyle11"/>
          <w:sz w:val="28"/>
          <w:szCs w:val="28"/>
          <w:lang w:val="es-ES_tradnl" w:eastAsia="fr-FR"/>
        </w:rPr>
        <w:t xml:space="preserve"> [4] </w:t>
      </w:r>
      <w:r w:rsidRPr="00F43105">
        <w:rPr>
          <w:rStyle w:val="FontStyle11"/>
          <w:sz w:val="28"/>
          <w:szCs w:val="28"/>
          <w:lang w:val="fr-FR" w:eastAsia="fr-FR"/>
        </w:rPr>
        <w:t xml:space="preserve">peut être considérée, dans l'ensemble comme satisfaisante, malgré une tendance générale des profils théoriques à présenter des fronts plus nets que les profils expérimentaux. La différence entre les deux modes s'explique d'une </w:t>
      </w:r>
      <w:r w:rsidRPr="00F43105">
        <w:rPr>
          <w:rStyle w:val="FontStyle11"/>
          <w:sz w:val="28"/>
          <w:szCs w:val="28"/>
          <w:lang w:val="fr-FR" w:eastAsia="fr-FR"/>
        </w:rPr>
        <w:t>part par les imperfections du mode expérimental et d'autre part, par le nombre d'hypothèses simplificatrices utilisées dans les deux modèles théoriques.</w:t>
      </w:r>
    </w:p>
    <w:sectPr w:rsidR="00F43105" w:rsidRPr="00F43105">
      <w:type w:val="continuous"/>
      <w:pgSz w:w="11905" w:h="16837"/>
      <w:pgMar w:top="1170" w:right="1224" w:bottom="1440" w:left="1546"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268F" w:rsidRDefault="0027268F">
      <w:r>
        <w:separator/>
      </w:r>
    </w:p>
  </w:endnote>
  <w:endnote w:type="continuationSeparator" w:id="1">
    <w:p w:rsidR="0027268F" w:rsidRDefault="002726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268F" w:rsidRDefault="0027268F">
      <w:r>
        <w:separator/>
      </w:r>
    </w:p>
  </w:footnote>
  <w:footnote w:type="continuationSeparator" w:id="1">
    <w:p w:rsidR="0027268F" w:rsidRDefault="0027268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F43105"/>
    <w:rsid w:val="0027268F"/>
    <w:rsid w:val="00F4310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Policepardfaut">
    <w:name w:val="Default Paragraph Font"/>
    <w:uiPriority w:val="99"/>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style>
  <w:style w:type="paragraph" w:customStyle="1" w:styleId="Style2">
    <w:name w:val="Style2"/>
    <w:basedOn w:val="Normal"/>
    <w:uiPriority w:val="99"/>
    <w:pPr>
      <w:spacing w:line="420" w:lineRule="exact"/>
      <w:ind w:firstLine="432"/>
      <w:jc w:val="both"/>
    </w:pPr>
  </w:style>
  <w:style w:type="character" w:customStyle="1" w:styleId="FontStyle11">
    <w:name w:val="Font Style11"/>
    <w:basedOn w:val="Policepardfaut"/>
    <w:uiPriority w:val="99"/>
    <w:rPr>
      <w:rFonts w:ascii="Times New Roman" w:hAnsi="Times New Roman" w:cs="Times New Roman"/>
      <w:spacing w:val="10"/>
      <w:sz w:val="20"/>
      <w:szCs w:val="20"/>
      <w:lang w:bidi="ar-SA"/>
    </w:rPr>
  </w:style>
  <w:style w:type="character" w:styleId="Lienhypertexte">
    <w:name w:val="Hyperlink"/>
    <w:basedOn w:val="Policepardfaut"/>
    <w:uiPriority w:val="99"/>
    <w:rPr>
      <w:color w:val="0066CC"/>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271</Words>
  <Characters>1546</Characters>
  <Application>Microsoft Office Word</Application>
  <DocSecurity>0</DocSecurity>
  <Lines>12</Lines>
  <Paragraphs>3</Paragraphs>
  <ScaleCrop>false</ScaleCrop>
  <Company/>
  <LinksUpToDate>false</LinksUpToDate>
  <CharactersWithSpaces>1814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2016-10-27T09:47:00Z</dcterms:created>
  <dcterms:modified xsi:type="dcterms:W3CDTF">2016-10-27T09:52:00Z</dcterms:modified>
</cp:coreProperties>
</file>