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077CB" w:rsidRDefault="00A077CB" w:rsidP="00A077CB">
      <w:r>
        <w:t>Ce travail avait pour objectif l'étude de l'implication du stress oxydatif lors d'une toxicité aigue par l'ibuprofène, un inhibiteur non spécifique des cyclooxygénases 1 et 2 (COX 1 et 2). Le stress oxydatif a été mesuré à l'aide de deux molécules pharmacologiques; la N-acétyl cystéine (NAC), un précurseur de glutathion et scavenger des radicaux oxydants et la curcumine (Cur), un flavonoide naturel et inhibiteur de la 5-lipoxygénase (5-LOX).</w:t>
      </w:r>
    </w:p>
    <w:p w:rsidR="00A077CB" w:rsidRDefault="00A077CB" w:rsidP="00A077CB">
      <w:r>
        <w:t>Des rats de souches Wistar ont été traités par 20, 60, 120 ou 240 mg/kg d'ibuprofène, correspondant respectivement à 2, 6, 12 et 24 fois la dose efficace 50 (DE50). La NAC (50, 150 ou 300 mg/kg) et la curcumine (40 mg/kg) ont été administrées 30 min après et avant le gavage de l'ibuprofène, respectivement. L'ibuprofène et la curcumine sont administrés par voie orale alors que la NAC est injectée par voie intra-péritonéale.</w:t>
      </w:r>
    </w:p>
    <w:p w:rsidR="00A077CB" w:rsidRDefault="00A077CB" w:rsidP="00A077CB">
      <w:r>
        <w:t xml:space="preserve">Le gavage des rats par 20, 60, 120 ou 240 mg/kg d'ibuprofène, augmente les taux en MDA sanguins avec des facteurs de 1.32, 1.38, 1.53 et 1.74. Le traitement par la NAC (50, 150 ou 300 mg/kg) ou par la curcumine (40 mg/kg), prévient totalement la peroxydation des lipides sanguins et avec la même efficacité (réduction de 30% de l'effet de la DU50 de l'ibuprofène sur les lipides). </w:t>
      </w:r>
    </w:p>
    <w:p w:rsidR="00A077CB" w:rsidRDefault="00A077CB" w:rsidP="00A077CB">
      <w:r>
        <w:t>Le traitement par 60, 120 ou 240 mg/kg d'ibuprofène, augmente le taux en MDA avec des facteurs de 1.75, 2.09 et 3.13 dans le tissu gastrique et 1.49, 1.5 et 3.12 dans le tissu hépatique. Seul le traitement par 240 mg/kg induit la peroxydation des lipides rénaux et augmente les taux en MDA de 2.41 fois par apport au témoin.</w:t>
      </w:r>
    </w:p>
    <w:p w:rsidR="00A077CB" w:rsidRDefault="00A077CB" w:rsidP="00A077CB">
      <w:r>
        <w:t xml:space="preserve">La peroxydation des lipides hépatique et rénal, est prévenue par les deux anti-oxydants utilisés; la curcumine à 40 mg/kg ou la NAC à 50, 150 ou 300 mg/kg. L'effet protecteur des quatre traitements contre la peroxydation des lipides induite par la DU50 de l'ibuprofène est identique dans chaque tissu (70% dans le tissu hépatique et 50% dans le tissu rénal. </w:t>
      </w:r>
    </w:p>
    <w:p w:rsidR="00A077CB" w:rsidRDefault="00A077CB" w:rsidP="00A077CB">
      <w:r>
        <w:t>Dans le tissu gastrique, le même traitement est très efficace à l'exception de 50 mg/kg de NAC. L'effet protecteur de la curcumine contre la peroxydation des lipides induite par 240 mg/kg d'ibuprofène (80%), est plus important que celui de 150 ou 300 mg/kg de NAC (60%). 50 mg/kg de NAC, réduit seulement 50% de l'effet de 240 mg/kg d'ibuprofène sur les lipides.</w:t>
      </w:r>
    </w:p>
    <w:p w:rsidR="00AB2A7A" w:rsidRDefault="00A077CB" w:rsidP="00A077CB">
      <w:r>
        <w:t>Seul le traitement par 240 mg/Kg d'ibuprofène, induit l'infiltration des tissus hépatique et rénal par les PN et augmente l'activité MPO de 2.48 et 2.68 fois par rapport au témoin, respectivement. L'activité MPO gastrique augmente avec des facteurs de 1.4, 1.7, 2.3 et 4.9, respectivement aux doses 20, 60, 120 ou 240 mg/kg d'ibuprofène.</w:t>
      </w:r>
    </w:p>
    <w:sectPr w:rsidR="00AB2A7A" w:rsidSect="00AB2A7A">
      <w:pgSz w:w="11906" w:h="16838"/>
      <w:pgMar w:top="1440" w:right="1800" w:bottom="1440" w:left="180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compat/>
  <w:rsids>
    <w:rsidRoot w:val="00A077CB"/>
    <w:rsid w:val="00A077CB"/>
    <w:rsid w:val="00AB2A7A"/>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B2A7A"/>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406</Words>
  <Characters>2234</Characters>
  <Application>Microsoft Office Word</Application>
  <DocSecurity>0</DocSecurity>
  <Lines>18</Lines>
  <Paragraphs>5</Paragraphs>
  <ScaleCrop>false</ScaleCrop>
  <Company/>
  <LinksUpToDate>false</LinksUpToDate>
  <CharactersWithSpaces>2635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traitement</dc:creator>
  <cp:lastModifiedBy>traitement</cp:lastModifiedBy>
  <cp:revision>2</cp:revision>
  <dcterms:created xsi:type="dcterms:W3CDTF">2015-01-19T13:48:00Z</dcterms:created>
  <dcterms:modified xsi:type="dcterms:W3CDTF">2015-01-19T13:49:00Z</dcterms:modified>
</cp:coreProperties>
</file>