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6B5C" w:rsidRDefault="00F66B5C" w:rsidP="00F66B5C">
      <w:pPr>
        <w:jc w:val="center"/>
        <w:rPr>
          <w:rFonts w:asciiTheme="majorBidi" w:hAnsiTheme="majorBidi" w:cstheme="majorBidi"/>
          <w:b/>
          <w:bCs/>
          <w:i/>
          <w:iCs/>
          <w:color w:val="002060"/>
          <w:sz w:val="40"/>
          <w:szCs w:val="40"/>
        </w:rPr>
      </w:pPr>
      <w:r w:rsidRPr="00AD4BF7">
        <w:rPr>
          <w:rFonts w:asciiTheme="majorBidi" w:hAnsiTheme="majorBidi" w:cstheme="majorBidi"/>
          <w:b/>
          <w:bCs/>
          <w:i/>
          <w:iCs/>
          <w:color w:val="002060"/>
          <w:sz w:val="40"/>
          <w:szCs w:val="40"/>
        </w:rPr>
        <w:t>Résumé</w:t>
      </w:r>
    </w:p>
    <w:p w:rsidR="00F66B5C" w:rsidRPr="00AD4BF7" w:rsidRDefault="00F66B5C" w:rsidP="00F66B5C">
      <w:pPr>
        <w:spacing w:line="276" w:lineRule="auto"/>
        <w:jc w:val="both"/>
        <w:rPr>
          <w:rFonts w:asciiTheme="majorBidi" w:hAnsiTheme="majorBidi" w:cstheme="majorBidi"/>
          <w:b/>
          <w:bCs/>
          <w:i/>
          <w:iCs/>
          <w:color w:val="002060"/>
          <w:sz w:val="40"/>
          <w:szCs w:val="40"/>
        </w:rPr>
      </w:pPr>
    </w:p>
    <w:p w:rsidR="00F66B5C" w:rsidRDefault="00F66B5C" w:rsidP="00F66B5C">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Le cytosquelette est un réseau protéique extrêmement dynamique régulant la survie et le comportement des cellules, il constitue une cible majeure des toxines naturelles. Dans cette étude nous avons </w:t>
      </w:r>
      <w:r w:rsidRPr="00AD2878">
        <w:rPr>
          <w:rFonts w:asciiTheme="majorBidi" w:hAnsiTheme="majorBidi" w:cstheme="majorBidi"/>
          <w:sz w:val="24"/>
          <w:szCs w:val="24"/>
        </w:rPr>
        <w:t>évalu</w:t>
      </w:r>
      <w:r>
        <w:rPr>
          <w:rFonts w:asciiTheme="majorBidi" w:hAnsiTheme="majorBidi" w:cstheme="majorBidi"/>
          <w:sz w:val="24"/>
          <w:szCs w:val="24"/>
        </w:rPr>
        <w:t>é</w:t>
      </w:r>
      <w:r w:rsidRPr="00AD2878">
        <w:rPr>
          <w:rFonts w:asciiTheme="majorBidi" w:hAnsiTheme="majorBidi" w:cstheme="majorBidi"/>
          <w:sz w:val="24"/>
          <w:szCs w:val="24"/>
        </w:rPr>
        <w:t xml:space="preserve"> l’impact du venin d’</w:t>
      </w:r>
      <w:proofErr w:type="spellStart"/>
      <w:r w:rsidRPr="00AD2878">
        <w:rPr>
          <w:rFonts w:asciiTheme="majorBidi" w:hAnsiTheme="majorBidi" w:cstheme="majorBidi"/>
          <w:i/>
          <w:iCs/>
          <w:sz w:val="24"/>
          <w:szCs w:val="24"/>
        </w:rPr>
        <w:t>Aah</w:t>
      </w:r>
      <w:proofErr w:type="spellEnd"/>
      <w:r w:rsidRPr="00AD2878">
        <w:rPr>
          <w:rFonts w:asciiTheme="majorBidi" w:hAnsiTheme="majorBidi" w:cstheme="majorBidi"/>
          <w:sz w:val="24"/>
          <w:szCs w:val="24"/>
        </w:rPr>
        <w:t xml:space="preserve"> sur le comportement et la dynamique du cytosquelette des cellules épithéliales.</w:t>
      </w:r>
    </w:p>
    <w:p w:rsidR="00F66B5C" w:rsidRDefault="00F66B5C" w:rsidP="00F66B5C">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Dans un premier temps, nous nous sommes intéressés à explorer l’effet du venin d’</w:t>
      </w:r>
      <w:proofErr w:type="spellStart"/>
      <w:r w:rsidRPr="004F3C11">
        <w:rPr>
          <w:rFonts w:asciiTheme="majorBidi" w:hAnsiTheme="majorBidi" w:cstheme="majorBidi"/>
          <w:i/>
          <w:iCs/>
          <w:sz w:val="24"/>
          <w:szCs w:val="24"/>
        </w:rPr>
        <w:t>Aah</w:t>
      </w:r>
      <w:proofErr w:type="spellEnd"/>
      <w:r>
        <w:rPr>
          <w:rFonts w:asciiTheme="majorBidi" w:hAnsiTheme="majorBidi" w:cstheme="majorBidi"/>
          <w:sz w:val="24"/>
          <w:szCs w:val="24"/>
        </w:rPr>
        <w:t xml:space="preserve"> sur le comportement des cellules épithéliales d’origine pulmonaire (A549), rénale (</w:t>
      </w:r>
      <w:proofErr w:type="spellStart"/>
      <w:r>
        <w:rPr>
          <w:rFonts w:asciiTheme="majorBidi" w:hAnsiTheme="majorBidi" w:cstheme="majorBidi"/>
          <w:sz w:val="24"/>
          <w:szCs w:val="24"/>
        </w:rPr>
        <w:t>Vero</w:t>
      </w:r>
      <w:proofErr w:type="spellEnd"/>
      <w:r>
        <w:rPr>
          <w:rFonts w:asciiTheme="majorBidi" w:hAnsiTheme="majorBidi" w:cstheme="majorBidi"/>
          <w:sz w:val="24"/>
          <w:szCs w:val="24"/>
        </w:rPr>
        <w:t>) ainsi que les cellules du col de l’utérus (</w:t>
      </w:r>
      <w:proofErr w:type="spellStart"/>
      <w:r>
        <w:rPr>
          <w:rFonts w:asciiTheme="majorBidi" w:hAnsiTheme="majorBidi" w:cstheme="majorBidi"/>
          <w:sz w:val="24"/>
          <w:szCs w:val="24"/>
        </w:rPr>
        <w:t>HeLa</w:t>
      </w:r>
      <w:proofErr w:type="spellEnd"/>
      <w:r>
        <w:rPr>
          <w:rFonts w:asciiTheme="majorBidi" w:hAnsiTheme="majorBidi" w:cstheme="majorBidi"/>
          <w:sz w:val="24"/>
          <w:szCs w:val="24"/>
        </w:rPr>
        <w:t xml:space="preserve">). Les résultats </w:t>
      </w:r>
      <w:r w:rsidRPr="004F3C11">
        <w:rPr>
          <w:rFonts w:asciiTheme="majorBidi" w:hAnsiTheme="majorBidi" w:cstheme="majorBidi"/>
          <w:i/>
          <w:iCs/>
          <w:sz w:val="24"/>
          <w:szCs w:val="24"/>
        </w:rPr>
        <w:t>in vitro</w:t>
      </w:r>
      <w:r>
        <w:rPr>
          <w:rFonts w:asciiTheme="majorBidi" w:hAnsiTheme="majorBidi" w:cstheme="majorBidi"/>
          <w:sz w:val="24"/>
          <w:szCs w:val="24"/>
        </w:rPr>
        <w:t xml:space="preserve"> ont démontré que le venin d’</w:t>
      </w:r>
      <w:proofErr w:type="spellStart"/>
      <w:r w:rsidRPr="00814F76">
        <w:rPr>
          <w:rFonts w:asciiTheme="majorBidi" w:hAnsiTheme="majorBidi" w:cstheme="majorBidi"/>
          <w:i/>
          <w:iCs/>
          <w:sz w:val="24"/>
          <w:szCs w:val="24"/>
        </w:rPr>
        <w:t>Aah</w:t>
      </w:r>
      <w:proofErr w:type="spellEnd"/>
      <w:r w:rsidRPr="00814F76">
        <w:rPr>
          <w:rFonts w:asciiTheme="majorBidi" w:hAnsiTheme="majorBidi" w:cstheme="majorBidi"/>
          <w:i/>
          <w:iCs/>
          <w:sz w:val="24"/>
          <w:szCs w:val="24"/>
        </w:rPr>
        <w:t xml:space="preserve"> </w:t>
      </w:r>
      <w:r>
        <w:rPr>
          <w:rFonts w:asciiTheme="majorBidi" w:hAnsiTheme="majorBidi" w:cstheme="majorBidi"/>
          <w:sz w:val="24"/>
          <w:szCs w:val="24"/>
        </w:rPr>
        <w:t>affecte la viabilité des cellules épithéliales et induit un effet cytotoxique dose dépendant. Par ailleurs, nos résultats ont montré que le venin favorise l’attachement des cellules et provoque une augmentation de l’adhésion et l’étalement des cellules sur des matrices extracellulaires par le biais des récepteurs des intégrines. Nous avons également démontré que le venin induit une réduction de la motilité cellulaire.</w:t>
      </w:r>
    </w:p>
    <w:p w:rsidR="00F66B5C" w:rsidRDefault="00F66B5C" w:rsidP="00F66B5C">
      <w:pPr>
        <w:spacing w:line="276" w:lineRule="auto"/>
        <w:jc w:val="both"/>
        <w:rPr>
          <w:rFonts w:asciiTheme="majorBidi" w:hAnsiTheme="majorBidi" w:cstheme="majorBidi"/>
          <w:sz w:val="24"/>
          <w:szCs w:val="24"/>
        </w:rPr>
      </w:pPr>
      <w:r w:rsidRPr="00E96306">
        <w:rPr>
          <w:rFonts w:asciiTheme="majorBidi" w:hAnsiTheme="majorBidi" w:cstheme="majorBidi"/>
          <w:sz w:val="24"/>
          <w:szCs w:val="24"/>
        </w:rPr>
        <w:t xml:space="preserve">  </w:t>
      </w:r>
      <w:r>
        <w:rPr>
          <w:rFonts w:asciiTheme="majorBidi" w:hAnsiTheme="majorBidi" w:cstheme="majorBidi"/>
          <w:sz w:val="24"/>
          <w:szCs w:val="24"/>
        </w:rPr>
        <w:t xml:space="preserve">        Dans le second volet de notre travail,</w:t>
      </w:r>
      <w:r w:rsidRPr="008A142C">
        <w:t xml:space="preserve"> </w:t>
      </w:r>
      <w:r w:rsidRPr="008A142C">
        <w:rPr>
          <w:rFonts w:asciiTheme="majorBidi" w:hAnsiTheme="majorBidi" w:cstheme="majorBidi"/>
          <w:sz w:val="24"/>
          <w:szCs w:val="24"/>
        </w:rPr>
        <w:t>l’impact du venin d’</w:t>
      </w:r>
      <w:proofErr w:type="spellStart"/>
      <w:r w:rsidRPr="008A142C">
        <w:rPr>
          <w:rFonts w:asciiTheme="majorBidi" w:hAnsiTheme="majorBidi" w:cstheme="majorBidi"/>
          <w:i/>
          <w:iCs/>
          <w:sz w:val="24"/>
          <w:szCs w:val="24"/>
        </w:rPr>
        <w:t>Aah</w:t>
      </w:r>
      <w:proofErr w:type="spellEnd"/>
      <w:r w:rsidRPr="008A142C">
        <w:rPr>
          <w:rFonts w:asciiTheme="majorBidi" w:hAnsiTheme="majorBidi" w:cstheme="majorBidi"/>
          <w:sz w:val="24"/>
          <w:szCs w:val="24"/>
        </w:rPr>
        <w:t xml:space="preserve"> sur le contrôle de la dynamique du cytosquelette des lignées épithéliales</w:t>
      </w:r>
      <w:r>
        <w:rPr>
          <w:rFonts w:asciiTheme="majorBidi" w:hAnsiTheme="majorBidi" w:cstheme="majorBidi"/>
          <w:sz w:val="24"/>
          <w:szCs w:val="24"/>
        </w:rPr>
        <w:t xml:space="preserve"> a été évalué. Nos résultats ont démontré que </w:t>
      </w:r>
      <w:r w:rsidRPr="00E96306">
        <w:rPr>
          <w:rFonts w:asciiTheme="majorBidi" w:hAnsiTheme="majorBidi" w:cstheme="majorBidi"/>
          <w:sz w:val="24"/>
          <w:szCs w:val="24"/>
        </w:rPr>
        <w:t>le venin d’</w:t>
      </w:r>
      <w:proofErr w:type="spellStart"/>
      <w:r w:rsidRPr="00814F76">
        <w:rPr>
          <w:rFonts w:asciiTheme="majorBidi" w:hAnsiTheme="majorBidi" w:cstheme="majorBidi"/>
          <w:i/>
          <w:iCs/>
          <w:sz w:val="24"/>
          <w:szCs w:val="24"/>
        </w:rPr>
        <w:t>Aah</w:t>
      </w:r>
      <w:proofErr w:type="spellEnd"/>
      <w:r w:rsidRPr="00E96306">
        <w:rPr>
          <w:rFonts w:asciiTheme="majorBidi" w:hAnsiTheme="majorBidi" w:cstheme="majorBidi"/>
          <w:sz w:val="24"/>
          <w:szCs w:val="24"/>
        </w:rPr>
        <w:t xml:space="preserve"> semble induire une réorganisation drastique</w:t>
      </w:r>
      <w:r>
        <w:rPr>
          <w:rFonts w:asciiTheme="majorBidi" w:hAnsiTheme="majorBidi" w:cstheme="majorBidi"/>
          <w:sz w:val="24"/>
          <w:szCs w:val="24"/>
        </w:rPr>
        <w:t xml:space="preserve"> des a</w:t>
      </w:r>
      <w:r w:rsidRPr="00E96306">
        <w:rPr>
          <w:rFonts w:asciiTheme="majorBidi" w:hAnsiTheme="majorBidi" w:cstheme="majorBidi"/>
          <w:sz w:val="24"/>
          <w:szCs w:val="24"/>
        </w:rPr>
        <w:t>ctine</w:t>
      </w:r>
      <w:r>
        <w:rPr>
          <w:rFonts w:asciiTheme="majorBidi" w:hAnsiTheme="majorBidi" w:cstheme="majorBidi"/>
          <w:sz w:val="24"/>
          <w:szCs w:val="24"/>
        </w:rPr>
        <w:t>s β et γ</w:t>
      </w:r>
      <w:r w:rsidRPr="00E96306">
        <w:rPr>
          <w:rFonts w:asciiTheme="majorBidi" w:hAnsiTheme="majorBidi" w:cstheme="majorBidi"/>
          <w:sz w:val="24"/>
          <w:szCs w:val="24"/>
        </w:rPr>
        <w:t xml:space="preserve"> au sein des cellules épithéliales </w:t>
      </w:r>
      <w:proofErr w:type="spellStart"/>
      <w:r w:rsidRPr="00E96306">
        <w:rPr>
          <w:rFonts w:asciiTheme="majorBidi" w:hAnsiTheme="majorBidi" w:cstheme="majorBidi"/>
          <w:sz w:val="24"/>
          <w:szCs w:val="24"/>
        </w:rPr>
        <w:t>Vero</w:t>
      </w:r>
      <w:proofErr w:type="spellEnd"/>
      <w:r w:rsidRPr="00E96306">
        <w:rPr>
          <w:rFonts w:asciiTheme="majorBidi" w:hAnsiTheme="majorBidi" w:cstheme="majorBidi"/>
          <w:sz w:val="24"/>
          <w:szCs w:val="24"/>
        </w:rPr>
        <w:t xml:space="preserve">, A549 et </w:t>
      </w:r>
      <w:proofErr w:type="spellStart"/>
      <w:r w:rsidRPr="00E96306">
        <w:rPr>
          <w:rFonts w:asciiTheme="majorBidi" w:hAnsiTheme="majorBidi" w:cstheme="majorBidi"/>
          <w:sz w:val="24"/>
          <w:szCs w:val="24"/>
        </w:rPr>
        <w:t>HeLa</w:t>
      </w:r>
      <w:proofErr w:type="spellEnd"/>
      <w:r w:rsidRPr="00E96306">
        <w:rPr>
          <w:rFonts w:asciiTheme="majorBidi" w:hAnsiTheme="majorBidi" w:cstheme="majorBidi"/>
          <w:sz w:val="24"/>
          <w:szCs w:val="24"/>
        </w:rPr>
        <w:t xml:space="preserve">. </w:t>
      </w:r>
      <w:r>
        <w:rPr>
          <w:rFonts w:asciiTheme="majorBidi" w:hAnsiTheme="majorBidi" w:cstheme="majorBidi"/>
          <w:sz w:val="24"/>
          <w:szCs w:val="24"/>
        </w:rPr>
        <w:t>Cette perturbation de l’architecture est accompagnée</w:t>
      </w:r>
      <w:r w:rsidRPr="00E96306">
        <w:rPr>
          <w:rFonts w:asciiTheme="majorBidi" w:hAnsiTheme="majorBidi" w:cstheme="majorBidi"/>
          <w:sz w:val="24"/>
          <w:szCs w:val="24"/>
        </w:rPr>
        <w:t xml:space="preserve"> par un changement morphologique</w:t>
      </w:r>
      <w:r>
        <w:rPr>
          <w:rFonts w:asciiTheme="majorBidi" w:hAnsiTheme="majorBidi" w:cstheme="majorBidi"/>
          <w:sz w:val="24"/>
          <w:szCs w:val="24"/>
        </w:rPr>
        <w:t xml:space="preserve"> cellulaire </w:t>
      </w:r>
      <w:r w:rsidRPr="00E96306">
        <w:rPr>
          <w:rFonts w:asciiTheme="majorBidi" w:hAnsiTheme="majorBidi" w:cstheme="majorBidi"/>
          <w:sz w:val="24"/>
          <w:szCs w:val="24"/>
        </w:rPr>
        <w:t>et</w:t>
      </w:r>
      <w:r>
        <w:rPr>
          <w:rFonts w:asciiTheme="majorBidi" w:hAnsiTheme="majorBidi" w:cstheme="majorBidi"/>
          <w:sz w:val="24"/>
          <w:szCs w:val="24"/>
        </w:rPr>
        <w:t xml:space="preserve"> une dérégulation de la dynamique des actines conduisant à une perte de la </w:t>
      </w:r>
      <w:r w:rsidRPr="00E96306">
        <w:rPr>
          <w:rFonts w:asciiTheme="majorBidi" w:hAnsiTheme="majorBidi" w:cstheme="majorBidi"/>
          <w:sz w:val="24"/>
          <w:szCs w:val="24"/>
        </w:rPr>
        <w:t xml:space="preserve">rigidité corticale </w:t>
      </w:r>
      <w:r>
        <w:rPr>
          <w:rFonts w:asciiTheme="majorBidi" w:hAnsiTheme="majorBidi" w:cstheme="majorBidi"/>
          <w:sz w:val="24"/>
          <w:szCs w:val="24"/>
        </w:rPr>
        <w:t xml:space="preserve">et </w:t>
      </w:r>
      <w:r w:rsidRPr="00E96306">
        <w:rPr>
          <w:rFonts w:asciiTheme="majorBidi" w:hAnsiTheme="majorBidi" w:cstheme="majorBidi"/>
          <w:sz w:val="24"/>
          <w:szCs w:val="24"/>
        </w:rPr>
        <w:t xml:space="preserve">la formation des </w:t>
      </w:r>
      <w:proofErr w:type="spellStart"/>
      <w:r w:rsidRPr="00E96306">
        <w:rPr>
          <w:rFonts w:asciiTheme="majorBidi" w:hAnsiTheme="majorBidi" w:cstheme="majorBidi"/>
          <w:sz w:val="24"/>
          <w:szCs w:val="24"/>
        </w:rPr>
        <w:t>blebs</w:t>
      </w:r>
      <w:proofErr w:type="spellEnd"/>
      <w:r w:rsidRPr="00E96306">
        <w:rPr>
          <w:rFonts w:asciiTheme="majorBidi" w:hAnsiTheme="majorBidi" w:cstheme="majorBidi"/>
          <w:sz w:val="24"/>
          <w:szCs w:val="24"/>
        </w:rPr>
        <w:t xml:space="preserve">. </w:t>
      </w:r>
      <w:r>
        <w:rPr>
          <w:rFonts w:asciiTheme="majorBidi" w:hAnsiTheme="majorBidi" w:cstheme="majorBidi"/>
          <w:sz w:val="24"/>
          <w:szCs w:val="24"/>
        </w:rPr>
        <w:t>De plus, n</w:t>
      </w:r>
      <w:r w:rsidRPr="00E96306">
        <w:rPr>
          <w:rFonts w:asciiTheme="majorBidi" w:hAnsiTheme="majorBidi" w:cstheme="majorBidi"/>
          <w:sz w:val="24"/>
          <w:szCs w:val="24"/>
        </w:rPr>
        <w:t xml:space="preserve">os résultats ont démontré </w:t>
      </w:r>
      <w:r>
        <w:rPr>
          <w:rFonts w:asciiTheme="majorBidi" w:hAnsiTheme="majorBidi" w:cstheme="majorBidi"/>
          <w:sz w:val="24"/>
          <w:szCs w:val="24"/>
        </w:rPr>
        <w:t xml:space="preserve">une atteinte de la dynamique des microtubules conduisant à un </w:t>
      </w:r>
      <w:r w:rsidRPr="00E96306">
        <w:rPr>
          <w:rFonts w:asciiTheme="majorBidi" w:hAnsiTheme="majorBidi" w:cstheme="majorBidi"/>
          <w:sz w:val="24"/>
          <w:szCs w:val="24"/>
        </w:rPr>
        <w:t>défaut de division</w:t>
      </w:r>
      <w:r>
        <w:rPr>
          <w:rFonts w:asciiTheme="majorBidi" w:hAnsiTheme="majorBidi" w:cstheme="majorBidi"/>
          <w:sz w:val="24"/>
          <w:szCs w:val="24"/>
        </w:rPr>
        <w:t xml:space="preserve">, </w:t>
      </w:r>
      <w:r w:rsidRPr="00E96306">
        <w:rPr>
          <w:rFonts w:asciiTheme="majorBidi" w:hAnsiTheme="majorBidi" w:cstheme="majorBidi"/>
          <w:sz w:val="24"/>
          <w:szCs w:val="24"/>
        </w:rPr>
        <w:t xml:space="preserve">et une perte de la polarité des cellules. </w:t>
      </w:r>
    </w:p>
    <w:p w:rsidR="00F66B5C" w:rsidRDefault="00F66B5C" w:rsidP="00F66B5C">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En outre, </w:t>
      </w:r>
      <w:r w:rsidRPr="00E96306">
        <w:rPr>
          <w:rFonts w:asciiTheme="majorBidi" w:hAnsiTheme="majorBidi" w:cstheme="majorBidi"/>
          <w:sz w:val="24"/>
          <w:szCs w:val="24"/>
        </w:rPr>
        <w:t xml:space="preserve">l’étude menée </w:t>
      </w:r>
      <w:r w:rsidRPr="004A066D">
        <w:rPr>
          <w:rFonts w:asciiTheme="majorBidi" w:hAnsiTheme="majorBidi" w:cstheme="majorBidi"/>
          <w:i/>
          <w:iCs/>
          <w:sz w:val="24"/>
          <w:szCs w:val="24"/>
        </w:rPr>
        <w:t>in vivo</w:t>
      </w:r>
      <w:r w:rsidRPr="00E96306">
        <w:rPr>
          <w:rFonts w:asciiTheme="majorBidi" w:hAnsiTheme="majorBidi" w:cstheme="majorBidi"/>
          <w:sz w:val="24"/>
          <w:szCs w:val="24"/>
        </w:rPr>
        <w:t xml:space="preserve"> a démontré que le venin d’</w:t>
      </w:r>
      <w:proofErr w:type="spellStart"/>
      <w:r w:rsidRPr="004A066D">
        <w:rPr>
          <w:rFonts w:asciiTheme="majorBidi" w:hAnsiTheme="majorBidi" w:cstheme="majorBidi"/>
          <w:i/>
          <w:iCs/>
          <w:sz w:val="24"/>
          <w:szCs w:val="24"/>
        </w:rPr>
        <w:t>Aah</w:t>
      </w:r>
      <w:proofErr w:type="spellEnd"/>
      <w:r w:rsidRPr="00E96306">
        <w:rPr>
          <w:rFonts w:asciiTheme="majorBidi" w:hAnsiTheme="majorBidi" w:cstheme="majorBidi"/>
          <w:sz w:val="24"/>
          <w:szCs w:val="24"/>
        </w:rPr>
        <w:t xml:space="preserve"> indui</w:t>
      </w:r>
      <w:r>
        <w:rPr>
          <w:rFonts w:asciiTheme="majorBidi" w:hAnsiTheme="majorBidi" w:cstheme="majorBidi"/>
          <w:sz w:val="24"/>
          <w:szCs w:val="24"/>
        </w:rPr>
        <w:t>t</w:t>
      </w:r>
      <w:r w:rsidRPr="00E96306">
        <w:rPr>
          <w:rFonts w:asciiTheme="majorBidi" w:hAnsiTheme="majorBidi" w:cstheme="majorBidi"/>
          <w:sz w:val="24"/>
          <w:szCs w:val="24"/>
        </w:rPr>
        <w:t xml:space="preserve"> une </w:t>
      </w:r>
      <w:r>
        <w:rPr>
          <w:rFonts w:asciiTheme="majorBidi" w:hAnsiTheme="majorBidi" w:cstheme="majorBidi"/>
          <w:sz w:val="24"/>
          <w:szCs w:val="24"/>
        </w:rPr>
        <w:t>destruction</w:t>
      </w:r>
      <w:r w:rsidRPr="00E96306">
        <w:rPr>
          <w:rFonts w:asciiTheme="majorBidi" w:hAnsiTheme="majorBidi" w:cstheme="majorBidi"/>
          <w:sz w:val="24"/>
          <w:szCs w:val="24"/>
        </w:rPr>
        <w:t xml:space="preserve"> des actines filamenteuses des cellules rénales glomérulaires et tubul</w:t>
      </w:r>
      <w:r>
        <w:rPr>
          <w:rFonts w:asciiTheme="majorBidi" w:hAnsiTheme="majorBidi" w:cstheme="majorBidi"/>
          <w:sz w:val="24"/>
          <w:szCs w:val="24"/>
        </w:rPr>
        <w:t>aires</w:t>
      </w:r>
      <w:r w:rsidRPr="00E96306">
        <w:rPr>
          <w:rFonts w:asciiTheme="majorBidi" w:hAnsiTheme="majorBidi" w:cstheme="majorBidi"/>
          <w:sz w:val="24"/>
          <w:szCs w:val="24"/>
        </w:rPr>
        <w:t>. Ces altérations phénotypiques ont été liées à des perturbations tissulaires</w:t>
      </w:r>
      <w:r>
        <w:rPr>
          <w:rFonts w:asciiTheme="majorBidi" w:hAnsiTheme="majorBidi" w:cstheme="majorBidi"/>
          <w:sz w:val="24"/>
          <w:szCs w:val="24"/>
        </w:rPr>
        <w:t xml:space="preserve"> et des atteintes de la fonction glomérulaire et tubulaire conduisant à des troubles </w:t>
      </w:r>
      <w:r w:rsidRPr="00E96306">
        <w:rPr>
          <w:rFonts w:asciiTheme="majorBidi" w:hAnsiTheme="majorBidi" w:cstheme="majorBidi"/>
          <w:sz w:val="24"/>
          <w:szCs w:val="24"/>
        </w:rPr>
        <w:t xml:space="preserve">biochimiques </w:t>
      </w:r>
      <w:r>
        <w:rPr>
          <w:rFonts w:asciiTheme="majorBidi" w:hAnsiTheme="majorBidi" w:cstheme="majorBidi"/>
          <w:sz w:val="24"/>
          <w:szCs w:val="24"/>
        </w:rPr>
        <w:t>et</w:t>
      </w:r>
      <w:r w:rsidRPr="00E96306">
        <w:rPr>
          <w:rFonts w:asciiTheme="majorBidi" w:hAnsiTheme="majorBidi" w:cstheme="majorBidi"/>
          <w:sz w:val="24"/>
          <w:szCs w:val="24"/>
        </w:rPr>
        <w:t xml:space="preserve"> électrolytiques </w:t>
      </w:r>
      <w:r>
        <w:rPr>
          <w:rFonts w:asciiTheme="majorBidi" w:hAnsiTheme="majorBidi" w:cstheme="majorBidi"/>
          <w:sz w:val="24"/>
          <w:szCs w:val="24"/>
        </w:rPr>
        <w:t>et l’</w:t>
      </w:r>
      <w:r w:rsidRPr="00E96306">
        <w:rPr>
          <w:rFonts w:asciiTheme="majorBidi" w:hAnsiTheme="majorBidi" w:cstheme="majorBidi"/>
          <w:sz w:val="24"/>
          <w:szCs w:val="24"/>
        </w:rPr>
        <w:t>inhibition de l'activité de la pompe Na</w:t>
      </w:r>
      <w:r w:rsidRPr="004A066D">
        <w:rPr>
          <w:rFonts w:asciiTheme="majorBidi" w:hAnsiTheme="majorBidi" w:cstheme="majorBidi"/>
          <w:sz w:val="24"/>
          <w:szCs w:val="24"/>
          <w:vertAlign w:val="superscript"/>
        </w:rPr>
        <w:t>+</w:t>
      </w:r>
      <w:r w:rsidRPr="00E96306">
        <w:rPr>
          <w:rFonts w:asciiTheme="majorBidi" w:hAnsiTheme="majorBidi" w:cstheme="majorBidi"/>
          <w:sz w:val="24"/>
          <w:szCs w:val="24"/>
        </w:rPr>
        <w:t>/K</w:t>
      </w:r>
      <w:r w:rsidRPr="004A066D">
        <w:rPr>
          <w:rFonts w:asciiTheme="majorBidi" w:hAnsiTheme="majorBidi" w:cstheme="majorBidi"/>
          <w:sz w:val="24"/>
          <w:szCs w:val="24"/>
          <w:vertAlign w:val="superscript"/>
        </w:rPr>
        <w:t>+</w:t>
      </w:r>
      <w:r w:rsidRPr="00E96306">
        <w:rPr>
          <w:rFonts w:asciiTheme="majorBidi" w:hAnsiTheme="majorBidi" w:cstheme="majorBidi"/>
          <w:sz w:val="24"/>
          <w:szCs w:val="24"/>
        </w:rPr>
        <w:t>-ATPase.</w:t>
      </w:r>
    </w:p>
    <w:p w:rsidR="00F66B5C" w:rsidRPr="004F3C11" w:rsidRDefault="00F66B5C" w:rsidP="00F66B5C">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Pr="004F3C11">
        <w:rPr>
          <w:rFonts w:asciiTheme="majorBidi" w:hAnsiTheme="majorBidi" w:cstheme="majorBidi"/>
          <w:sz w:val="24"/>
          <w:szCs w:val="24"/>
        </w:rPr>
        <w:t xml:space="preserve">En conclusion, cette </w:t>
      </w:r>
      <w:r>
        <w:rPr>
          <w:rFonts w:asciiTheme="majorBidi" w:hAnsiTheme="majorBidi" w:cstheme="majorBidi"/>
          <w:sz w:val="24"/>
          <w:szCs w:val="24"/>
        </w:rPr>
        <w:t>étude</w:t>
      </w:r>
      <w:r w:rsidRPr="004F3C11">
        <w:rPr>
          <w:rFonts w:asciiTheme="majorBidi" w:hAnsiTheme="majorBidi" w:cstheme="majorBidi"/>
          <w:sz w:val="24"/>
          <w:szCs w:val="24"/>
        </w:rPr>
        <w:t xml:space="preserve"> permet de formuler un certain nombre d’hypothèses sur les mécanismes physiopathologiques qui participent à la détérioration progressive de la structure et de la fonction des cellules </w:t>
      </w:r>
      <w:r>
        <w:rPr>
          <w:rFonts w:asciiTheme="majorBidi" w:hAnsiTheme="majorBidi" w:cstheme="majorBidi"/>
          <w:sz w:val="24"/>
          <w:szCs w:val="24"/>
        </w:rPr>
        <w:t xml:space="preserve">épithéliales </w:t>
      </w:r>
      <w:r w:rsidRPr="004F3C11">
        <w:rPr>
          <w:rFonts w:asciiTheme="majorBidi" w:hAnsiTheme="majorBidi" w:cstheme="majorBidi"/>
          <w:sz w:val="24"/>
          <w:szCs w:val="24"/>
        </w:rPr>
        <w:t>et l’altération de la dynamique du cytosquelette d'actine au cours de l’envenimation</w:t>
      </w:r>
      <w:r>
        <w:rPr>
          <w:rFonts w:asciiTheme="majorBidi" w:hAnsiTheme="majorBidi" w:cstheme="majorBidi"/>
          <w:sz w:val="24"/>
          <w:szCs w:val="24"/>
        </w:rPr>
        <w:t xml:space="preserve">, et d’ouvrir ainsi, </w:t>
      </w:r>
      <w:r w:rsidRPr="004A066D">
        <w:rPr>
          <w:rFonts w:asciiTheme="majorBidi" w:hAnsiTheme="majorBidi" w:cstheme="majorBidi"/>
          <w:sz w:val="24"/>
          <w:szCs w:val="24"/>
        </w:rPr>
        <w:t>de nouvelles pistes pour une thérapeutique.</w:t>
      </w:r>
    </w:p>
    <w:p w:rsidR="00F66B5C" w:rsidRDefault="00F66B5C" w:rsidP="00F66B5C">
      <w:pPr>
        <w:spacing w:line="276" w:lineRule="auto"/>
        <w:jc w:val="both"/>
        <w:rPr>
          <w:rFonts w:asciiTheme="majorBidi" w:hAnsiTheme="majorBidi" w:cstheme="majorBidi"/>
          <w:sz w:val="24"/>
          <w:szCs w:val="24"/>
        </w:rPr>
      </w:pPr>
      <w:bookmarkStart w:id="0" w:name="_GoBack"/>
      <w:bookmarkEnd w:id="0"/>
    </w:p>
    <w:sectPr w:rsidR="00F66B5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5EDE"/>
    <w:rsid w:val="007263E7"/>
    <w:rsid w:val="008703EF"/>
    <w:rsid w:val="00C15EDE"/>
    <w:rsid w:val="00F66B5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2435D2-519A-419F-B8DC-252027383B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6B5C"/>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390</Words>
  <Characters>2150</Characters>
  <Application>Microsoft Office Word</Application>
  <DocSecurity>0</DocSecurity>
  <Lines>17</Lines>
  <Paragraphs>5</Paragraphs>
  <ScaleCrop>false</ScaleCrop>
  <Company/>
  <LinksUpToDate>false</LinksUpToDate>
  <CharactersWithSpaces>2535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client</dc:creator>
  <cp:keywords/>
  <dc:description/>
  <cp:lastModifiedBy>naima</cp:lastModifiedBy>
  <cp:revision>4</cp:revision>
  <dcterms:created xsi:type="dcterms:W3CDTF">2012-03-14T23:17:00Z</dcterms:created>
  <dcterms:modified xsi:type="dcterms:W3CDTF">2018-06-20T14:40:00Z</dcterms:modified>
</cp:coreProperties>
</file>