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13E91" w:rsidRDefault="00A13E91" w:rsidP="00A13E91">
      <w:pPr>
        <w:jc w:val="center"/>
        <w:rPr>
          <w:rFonts w:asciiTheme="majorHAnsi" w:hAnsiTheme="majorHAnsi" w:cstheme="majorBidi"/>
          <w:sz w:val="28"/>
          <w:szCs w:val="28"/>
        </w:rPr>
      </w:pPr>
      <w:r>
        <w:rPr>
          <w:rFonts w:asciiTheme="majorHAnsi" w:hAnsiTheme="majorHAnsi" w:cstheme="majorBidi"/>
          <w:sz w:val="28"/>
          <w:szCs w:val="28"/>
        </w:rPr>
        <w:t>Résumé</w:t>
      </w:r>
    </w:p>
    <w:p w:rsidR="00A13E91" w:rsidRDefault="00A13E91" w:rsidP="00A13E91">
      <w:pPr>
        <w:jc w:val="center"/>
        <w:rPr>
          <w:rFonts w:asciiTheme="majorHAnsi" w:hAnsiTheme="majorHAnsi" w:cstheme="majorBidi"/>
          <w:sz w:val="28"/>
          <w:szCs w:val="28"/>
          <w:lang w:bidi="ar-DZ"/>
        </w:rPr>
      </w:pPr>
    </w:p>
    <w:p w:rsidR="00A13E91" w:rsidRDefault="00A13E91" w:rsidP="00A13E91">
      <w:pPr>
        <w:spacing w:line="360" w:lineRule="auto"/>
        <w:jc w:val="both"/>
        <w:rPr>
          <w:rFonts w:asciiTheme="majorHAnsi" w:hAnsiTheme="majorHAnsi" w:cstheme="majorBidi"/>
          <w:sz w:val="24"/>
          <w:szCs w:val="24"/>
          <w:rtl/>
        </w:rPr>
      </w:pPr>
      <w:r>
        <w:rPr>
          <w:rFonts w:asciiTheme="majorHAnsi" w:hAnsiTheme="majorHAnsi" w:cstheme="majorBidi"/>
          <w:color w:val="000000"/>
          <w:sz w:val="24"/>
          <w:szCs w:val="24"/>
        </w:rPr>
        <w:tab/>
        <w:t>C</w:t>
      </w:r>
      <w:r>
        <w:rPr>
          <w:rFonts w:asciiTheme="majorHAnsi" w:hAnsiTheme="majorHAnsi" w:cstheme="majorBidi"/>
          <w:sz w:val="24"/>
          <w:szCs w:val="24"/>
        </w:rPr>
        <w:t xml:space="preserve">e travail est une </w:t>
      </w:r>
      <w:r>
        <w:rPr>
          <w:rFonts w:asciiTheme="majorHAnsi" w:hAnsiTheme="majorHAnsi" w:cstheme="majorBidi"/>
          <w:color w:val="000000"/>
          <w:sz w:val="24"/>
          <w:szCs w:val="24"/>
        </w:rPr>
        <w:t xml:space="preserve">étude numérique de la convection naturelle dans un espace annulaire horizontal poreux avec présence de </w:t>
      </w:r>
      <w:r>
        <w:rPr>
          <w:rFonts w:asciiTheme="majorHAnsi" w:hAnsiTheme="majorHAnsi" w:cstheme="majorBidi"/>
          <w:sz w:val="24"/>
          <w:szCs w:val="24"/>
        </w:rPr>
        <w:t xml:space="preserve">baffles </w:t>
      </w:r>
      <w:bookmarkStart w:id="0" w:name="_GoBack"/>
      <w:bookmarkEnd w:id="0"/>
      <w:r>
        <w:rPr>
          <w:rFonts w:asciiTheme="majorHAnsi" w:hAnsiTheme="majorHAnsi" w:cstheme="majorBidi"/>
          <w:sz w:val="24"/>
          <w:szCs w:val="24"/>
        </w:rPr>
        <w:t>radiaux</w:t>
      </w:r>
      <w:r>
        <w:rPr>
          <w:rFonts w:asciiTheme="majorHAnsi" w:hAnsiTheme="majorHAnsi" w:cstheme="majorBidi"/>
          <w:sz w:val="24"/>
          <w:szCs w:val="24"/>
        </w:rPr>
        <w:t xml:space="preserve">. Les paires de baffle insérées sont placées sur le cylindre intérieur chaud ou le cylindre extérieur froid avec une orientation symétrique par rapport à l’axe vertical du domaine. L’écoulement et le transfert de chaleur bidimensionnels et stationnaires sont gouvernés par les équations de continuité, </w:t>
      </w:r>
      <w:proofErr w:type="spellStart"/>
      <w:r>
        <w:rPr>
          <w:rFonts w:asciiTheme="majorHAnsi" w:hAnsiTheme="majorHAnsi" w:cstheme="majorBidi"/>
          <w:sz w:val="24"/>
          <w:szCs w:val="24"/>
        </w:rPr>
        <w:t>Boussinesq</w:t>
      </w:r>
      <w:proofErr w:type="spellEnd"/>
      <w:r>
        <w:rPr>
          <w:rFonts w:asciiTheme="majorHAnsi" w:hAnsiTheme="majorHAnsi" w:cstheme="majorBidi"/>
          <w:sz w:val="24"/>
          <w:szCs w:val="24"/>
        </w:rPr>
        <w:t>-Darcy-</w:t>
      </w:r>
      <w:proofErr w:type="spellStart"/>
      <w:r>
        <w:rPr>
          <w:rFonts w:asciiTheme="majorHAnsi" w:hAnsiTheme="majorHAnsi" w:cstheme="majorBidi"/>
          <w:sz w:val="24"/>
          <w:szCs w:val="24"/>
        </w:rPr>
        <w:t>Brinkman</w:t>
      </w:r>
      <w:proofErr w:type="spellEnd"/>
      <w:r>
        <w:rPr>
          <w:rFonts w:asciiTheme="majorHAnsi" w:hAnsiTheme="majorHAnsi" w:cstheme="majorBidi"/>
          <w:sz w:val="24"/>
          <w:szCs w:val="24"/>
        </w:rPr>
        <w:t xml:space="preserve"> et d’énergie. La modélisation numérique du problème est basée sur la méthode des volumes finis associée à l’algorithme SIMPLE et le schéma d’interpolation Power Law. Le système d’équations discrétisées est résolu par l’algorithme TDMA et la méthode itérative de Gauss-Seidel. Les résultats numériques obtenus ont permis de montrer qu’il est possible d’améliorer l’efficacité de l’isolation thermique des conduites horizontales. Les paires de baffle insérées réduisent la convection naturelle dans l’anneau fibreux isolant autour des conduites. </w:t>
      </w:r>
      <w:r>
        <w:rPr>
          <w:rFonts w:asciiTheme="majorBidi" w:hAnsiTheme="majorBidi" w:cstheme="majorBidi"/>
          <w:iCs/>
          <w:sz w:val="24"/>
          <w:szCs w:val="24"/>
        </w:rPr>
        <w:t xml:space="preserve">Dans les conditions optimales d’insertion de trois paires de baffle intérieures, le taux maximal de réduction de la convection naturelle peut atteindre presque 12%. </w:t>
      </w:r>
    </w:p>
    <w:p w:rsidR="00A13E91" w:rsidRDefault="00A13E91" w:rsidP="00A13E91">
      <w:pPr>
        <w:jc w:val="both"/>
        <w:rPr>
          <w:rFonts w:asciiTheme="majorHAnsi" w:hAnsiTheme="majorHAnsi" w:cstheme="majorBidi"/>
          <w:sz w:val="24"/>
          <w:szCs w:val="24"/>
        </w:rPr>
      </w:pPr>
    </w:p>
    <w:p w:rsidR="00A13E91" w:rsidRDefault="00A13E91" w:rsidP="00A13E91">
      <w:pPr>
        <w:jc w:val="both"/>
        <w:rPr>
          <w:rFonts w:asciiTheme="majorHAnsi" w:hAnsiTheme="majorHAnsi" w:cstheme="majorBidi"/>
          <w:i/>
          <w:iCs/>
          <w:sz w:val="28"/>
          <w:szCs w:val="28"/>
          <w:rtl/>
        </w:rPr>
      </w:pPr>
      <w:r>
        <w:rPr>
          <w:rFonts w:asciiTheme="majorHAnsi" w:hAnsiTheme="majorHAnsi"/>
          <w:i/>
          <w:iCs/>
          <w:color w:val="000000"/>
          <w:sz w:val="24"/>
          <w:szCs w:val="24"/>
        </w:rPr>
        <w:t>Mots clés : Milieu poreux, transfert de chaleur, Modèle de Darcy-</w:t>
      </w:r>
      <w:proofErr w:type="spellStart"/>
      <w:r>
        <w:rPr>
          <w:rFonts w:asciiTheme="majorHAnsi" w:hAnsiTheme="majorHAnsi"/>
          <w:i/>
          <w:iCs/>
          <w:color w:val="000000"/>
          <w:sz w:val="24"/>
          <w:szCs w:val="24"/>
        </w:rPr>
        <w:t>Brinkman</w:t>
      </w:r>
      <w:proofErr w:type="spellEnd"/>
      <w:r>
        <w:rPr>
          <w:rFonts w:asciiTheme="majorHAnsi" w:hAnsiTheme="majorHAnsi"/>
          <w:i/>
          <w:iCs/>
          <w:color w:val="000000"/>
          <w:sz w:val="24"/>
          <w:szCs w:val="24"/>
        </w:rPr>
        <w:t>, Convection naturelle, baffle radial, Volume finis.</w:t>
      </w:r>
    </w:p>
    <w:p w:rsidR="00A13E91" w:rsidRDefault="00A13E91" w:rsidP="00A13E91">
      <w:pPr>
        <w:jc w:val="both"/>
        <w:rPr>
          <w:rFonts w:asciiTheme="majorBidi" w:hAnsiTheme="majorBidi" w:cstheme="majorBidi"/>
          <w:color w:val="000000"/>
          <w:sz w:val="24"/>
          <w:szCs w:val="24"/>
          <w:rtl/>
        </w:rPr>
      </w:pPr>
    </w:p>
    <w:p w:rsidR="00A13E91" w:rsidRDefault="00A13E91" w:rsidP="00A13E91">
      <w:pPr>
        <w:jc w:val="both"/>
        <w:rPr>
          <w:rFonts w:asciiTheme="majorBidi" w:hAnsiTheme="majorBidi" w:cstheme="majorBidi"/>
          <w:color w:val="000000"/>
          <w:sz w:val="24"/>
          <w:szCs w:val="24"/>
          <w:rtl/>
        </w:rPr>
      </w:pPr>
    </w:p>
    <w:p w:rsidR="00A13E91" w:rsidRDefault="00A13E91" w:rsidP="00A13E91">
      <w:pPr>
        <w:jc w:val="center"/>
        <w:rPr>
          <w:rFonts w:asciiTheme="majorHAnsi" w:hAnsiTheme="majorHAnsi" w:cstheme="majorBidi"/>
          <w:sz w:val="28"/>
          <w:szCs w:val="28"/>
          <w:rtl/>
          <w:lang w:val="en-US"/>
        </w:rPr>
      </w:pPr>
      <w:r>
        <w:rPr>
          <w:rFonts w:asciiTheme="majorHAnsi" w:hAnsiTheme="majorHAnsi" w:cstheme="majorBidi"/>
          <w:sz w:val="28"/>
          <w:szCs w:val="28"/>
          <w:lang w:val="en-US"/>
        </w:rPr>
        <w:t>Abstract</w:t>
      </w:r>
    </w:p>
    <w:p w:rsidR="00A13E91" w:rsidRDefault="00A13E91" w:rsidP="00A13E91">
      <w:pPr>
        <w:jc w:val="center"/>
        <w:rPr>
          <w:rFonts w:asciiTheme="majorHAnsi" w:hAnsiTheme="majorHAnsi" w:cstheme="majorBidi"/>
          <w:sz w:val="28"/>
          <w:szCs w:val="28"/>
          <w:lang w:val="en-US" w:bidi="ar-DZ"/>
        </w:rPr>
      </w:pPr>
    </w:p>
    <w:p w:rsidR="00A13E91" w:rsidRDefault="00A13E91" w:rsidP="00A13E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heme="majorHAnsi" w:eastAsia="Times New Roman" w:hAnsiTheme="majorHAnsi" w:cs="Courier New"/>
          <w:sz w:val="24"/>
          <w:szCs w:val="24"/>
          <w:rtl/>
          <w:lang w:val="en-US" w:eastAsia="fr-FR"/>
        </w:rPr>
      </w:pPr>
      <w:r>
        <w:rPr>
          <w:rFonts w:asciiTheme="majorHAnsi" w:eastAsia="Times New Roman" w:hAnsiTheme="majorHAnsi" w:cs="Courier New"/>
          <w:sz w:val="24"/>
          <w:szCs w:val="24"/>
          <w:rtl/>
          <w:lang w:val="en-US" w:eastAsia="fr-FR"/>
        </w:rPr>
        <w:tab/>
      </w:r>
      <w:r>
        <w:rPr>
          <w:rFonts w:asciiTheme="majorHAnsi" w:eastAsia="Times New Roman" w:hAnsiTheme="majorHAnsi" w:cs="Courier New"/>
          <w:sz w:val="24"/>
          <w:szCs w:val="24"/>
          <w:lang w:val="en-US" w:eastAsia="fr-FR"/>
        </w:rPr>
        <w:t xml:space="preserve">This work is a numerical study of natural convection in a porous horizontal annulus with the presence of radial baffles. Pairs of baffle are inserted on the hot inner cylinder and the cold outer cylinder with a symmetrical orientation relative to the vertical axis. The fluid flow and the heat transfer are two-dimensional and stationary governed by the continuity, </w:t>
      </w:r>
      <w:proofErr w:type="spellStart"/>
      <w:r>
        <w:rPr>
          <w:rFonts w:asciiTheme="majorHAnsi" w:eastAsia="Times New Roman" w:hAnsiTheme="majorHAnsi" w:cs="Courier New"/>
          <w:sz w:val="24"/>
          <w:szCs w:val="24"/>
          <w:lang w:val="en-US" w:eastAsia="fr-FR"/>
        </w:rPr>
        <w:t>Boussinesq</w:t>
      </w:r>
      <w:proofErr w:type="spellEnd"/>
      <w:r>
        <w:rPr>
          <w:rFonts w:asciiTheme="majorHAnsi" w:eastAsia="Times New Roman" w:hAnsiTheme="majorHAnsi" w:cs="Courier New"/>
          <w:sz w:val="24"/>
          <w:szCs w:val="24"/>
          <w:lang w:val="en-US" w:eastAsia="fr-FR"/>
        </w:rPr>
        <w:t xml:space="preserve">-Darcy-Brinkman and energy equations. Numerical modeling of the problem is based on the finite volume method associated with the SIMPLE algorithm and interpolation scheme Power Law. The discretized </w:t>
      </w:r>
      <w:r>
        <w:rPr>
          <w:rFonts w:asciiTheme="majorHAnsi" w:eastAsia="Times New Roman" w:hAnsiTheme="majorHAnsi" w:cs="Courier New"/>
          <w:sz w:val="24"/>
          <w:szCs w:val="24"/>
          <w:lang w:val="en-US" w:eastAsia="fr-FR"/>
        </w:rPr>
        <w:lastRenderedPageBreak/>
        <w:t>systems of equations are solved by the TDMA algorithm and the iterative Gauss-Seidel. The method numerical results have shown that it is possible to improve the efficiency of the thermal insulation of horizontal pipes. The pairs of baffle inserted reduce the natural convection in the fibrous insulation ring around the pipes. The optimum conditions of insertion for the three pairs on the inner cylinder, the maximum rate of reduction of natural convection can reach almost 12%.</w:t>
      </w:r>
    </w:p>
    <w:p w:rsidR="00A13E91" w:rsidRDefault="00A13E91" w:rsidP="00A13E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heme="majorHAnsi" w:eastAsia="Times New Roman" w:hAnsiTheme="majorHAnsi" w:cs="Courier New"/>
          <w:color w:val="212121"/>
          <w:sz w:val="20"/>
          <w:szCs w:val="20"/>
          <w:lang w:val="en-US" w:eastAsia="fr-FR"/>
        </w:rPr>
      </w:pPr>
    </w:p>
    <w:p w:rsidR="00A13E91" w:rsidRDefault="00A13E91" w:rsidP="00A13E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heme="majorHAnsi" w:eastAsia="Times New Roman" w:hAnsiTheme="majorHAnsi" w:cs="Courier New"/>
          <w:color w:val="212121"/>
          <w:sz w:val="20"/>
          <w:szCs w:val="20"/>
          <w:rtl/>
          <w:lang w:val="en-US" w:eastAsia="fr-FR"/>
        </w:rPr>
      </w:pPr>
    </w:p>
    <w:p w:rsidR="00A13E91" w:rsidRDefault="00A13E91" w:rsidP="00A13E91">
      <w:pPr>
        <w:jc w:val="both"/>
        <w:rPr>
          <w:rFonts w:asciiTheme="majorHAnsi" w:hAnsiTheme="majorHAnsi"/>
          <w:i/>
          <w:iCs/>
          <w:color w:val="000000"/>
          <w:sz w:val="24"/>
          <w:szCs w:val="24"/>
          <w:lang w:val="en-US"/>
        </w:rPr>
      </w:pPr>
      <w:r>
        <w:rPr>
          <w:rFonts w:asciiTheme="majorHAnsi" w:hAnsiTheme="majorHAnsi"/>
          <w:i/>
          <w:iCs/>
          <w:color w:val="000000"/>
          <w:sz w:val="24"/>
          <w:szCs w:val="24"/>
          <w:lang w:val="en-US"/>
        </w:rPr>
        <w:t>Key words: Porous medium, Heat transfer, model of Darcy-Brinkman, Natural convection, radial baffle, finite volumes</w:t>
      </w:r>
    </w:p>
    <w:p w:rsidR="00A13E91" w:rsidRDefault="00A13E91" w:rsidP="00A13E91">
      <w:pPr>
        <w:jc w:val="both"/>
        <w:rPr>
          <w:rFonts w:asciiTheme="majorBidi" w:hAnsiTheme="majorBidi" w:cstheme="majorBidi"/>
          <w:i/>
          <w:iCs/>
          <w:sz w:val="28"/>
          <w:szCs w:val="28"/>
          <w:lang w:val="en-US"/>
        </w:rPr>
      </w:pPr>
    </w:p>
    <w:p w:rsidR="00A13E91" w:rsidRDefault="00A13E91" w:rsidP="00A13E91">
      <w:pPr>
        <w:jc w:val="center"/>
        <w:rPr>
          <w:rFonts w:asciiTheme="majorBidi" w:hAnsiTheme="majorBidi" w:cstheme="majorBidi"/>
          <w:sz w:val="28"/>
          <w:szCs w:val="28"/>
          <w:lang w:val="en-US" w:bidi="ar-DZ"/>
        </w:rPr>
      </w:pPr>
      <w:r>
        <w:rPr>
          <w:rFonts w:asciiTheme="majorBidi" w:hAnsiTheme="majorBidi" w:cstheme="majorBidi"/>
          <w:sz w:val="28"/>
          <w:szCs w:val="28"/>
          <w:rtl/>
          <w:lang w:val="en-US" w:bidi="ar-DZ"/>
        </w:rPr>
        <w:t>ملخص</w:t>
      </w:r>
    </w:p>
    <w:p w:rsidR="00A13E91" w:rsidRDefault="00A13E91" w:rsidP="00A13E91">
      <w:pPr>
        <w:jc w:val="center"/>
        <w:rPr>
          <w:rFonts w:asciiTheme="majorBidi" w:hAnsiTheme="majorBidi" w:cstheme="majorBidi"/>
          <w:sz w:val="28"/>
          <w:szCs w:val="28"/>
          <w:lang w:val="en-US" w:bidi="ar-DZ"/>
        </w:rPr>
      </w:pPr>
    </w:p>
    <w:p w:rsidR="00A13E91" w:rsidRDefault="00A13E91" w:rsidP="00A13E91">
      <w:pPr>
        <w:pStyle w:val="PrformatHTML"/>
        <w:bidi/>
        <w:spacing w:line="360" w:lineRule="auto"/>
        <w:jc w:val="both"/>
        <w:rPr>
          <w:sz w:val="28"/>
          <w:szCs w:val="28"/>
          <w:rtl/>
          <w:lang w:val="en-US"/>
        </w:rPr>
      </w:pPr>
      <w:r>
        <w:rPr>
          <w:rFonts w:hint="cs"/>
          <w:sz w:val="28"/>
          <w:szCs w:val="28"/>
          <w:rtl/>
        </w:rPr>
        <w:tab/>
      </w:r>
      <w:r>
        <w:rPr>
          <w:rFonts w:asciiTheme="majorBidi" w:hAnsiTheme="majorBidi" w:cstheme="majorBidi"/>
          <w:sz w:val="28"/>
          <w:szCs w:val="28"/>
          <w:rtl/>
        </w:rPr>
        <w:t xml:space="preserve">في خلال هذا العمل، فإننا مهتمين بدراسة الحمل الحراري المستقر في حلقة مسامية أفقية مشبعة، ويغطيها اثنين من اسطوانات، ساخنة من الداخل باردة من الخارج، في ظل وجود الواح العزل. نقلو تدفق الحرارة ثنائي الأبعاد عن طريق معادلة الاستمرارية، معادلات </w:t>
      </w:r>
      <w:proofErr w:type="spellStart"/>
      <w:r>
        <w:rPr>
          <w:rFonts w:asciiTheme="majorBidi" w:hAnsiTheme="majorBidi" w:cstheme="majorBidi"/>
          <w:sz w:val="28"/>
          <w:szCs w:val="28"/>
          <w:rtl/>
          <w:lang w:bidi="ar-DZ"/>
        </w:rPr>
        <w:t>بوسينسك</w:t>
      </w:r>
      <w:proofErr w:type="spellEnd"/>
      <w:r>
        <w:rPr>
          <w:rFonts w:asciiTheme="majorBidi" w:hAnsiTheme="majorBidi" w:cstheme="majorBidi"/>
          <w:sz w:val="28"/>
          <w:szCs w:val="28"/>
          <w:rtl/>
        </w:rPr>
        <w:t>-دارسي-</w:t>
      </w:r>
      <w:proofErr w:type="spellStart"/>
      <w:r>
        <w:rPr>
          <w:rFonts w:asciiTheme="majorBidi" w:hAnsiTheme="majorBidi" w:cstheme="majorBidi"/>
          <w:sz w:val="28"/>
          <w:szCs w:val="28"/>
          <w:rtl/>
        </w:rPr>
        <w:t>برينكمان</w:t>
      </w:r>
      <w:proofErr w:type="spellEnd"/>
      <w:r>
        <w:rPr>
          <w:rFonts w:asciiTheme="majorBidi" w:hAnsiTheme="majorBidi" w:cstheme="majorBidi"/>
          <w:sz w:val="28"/>
          <w:szCs w:val="28"/>
          <w:rtl/>
        </w:rPr>
        <w:t xml:space="preserve"> ومعادلة الطاقة. ويستند </w:t>
      </w:r>
      <w:proofErr w:type="spellStart"/>
      <w:r>
        <w:rPr>
          <w:rFonts w:asciiTheme="majorBidi" w:hAnsiTheme="majorBidi" w:cstheme="majorBidi"/>
          <w:sz w:val="28"/>
          <w:szCs w:val="28"/>
          <w:rtl/>
        </w:rPr>
        <w:t>النمذج</w:t>
      </w:r>
      <w:proofErr w:type="spellEnd"/>
      <w:r>
        <w:rPr>
          <w:rFonts w:asciiTheme="majorBidi" w:hAnsiTheme="majorBidi" w:cstheme="majorBidi"/>
          <w:sz w:val="28"/>
          <w:szCs w:val="28"/>
          <w:rtl/>
        </w:rPr>
        <w:t xml:space="preserve"> العددي لهذه المشكلة على طريقة الحجوم المحدودة. و يستخدم خوارزمية لعلاج اقتران السرعة و الضغط. يتم حل جملة المعادلات الجبرية المتحصل عليها عن طريق الخوارزمية التكرارية </w:t>
      </w:r>
      <w:proofErr w:type="spellStart"/>
      <w:r>
        <w:rPr>
          <w:rFonts w:asciiTheme="majorBidi" w:hAnsiTheme="majorBidi" w:cstheme="majorBidi"/>
          <w:sz w:val="28"/>
          <w:szCs w:val="28"/>
          <w:rtl/>
        </w:rPr>
        <w:t>تيديياما</w:t>
      </w:r>
      <w:proofErr w:type="spellEnd"/>
      <w:r>
        <w:rPr>
          <w:rFonts w:asciiTheme="majorBidi" w:hAnsiTheme="majorBidi" w:cstheme="majorBidi"/>
          <w:sz w:val="28"/>
          <w:szCs w:val="28"/>
          <w:rtl/>
        </w:rPr>
        <w:t xml:space="preserve"> و غاوس-</w:t>
      </w:r>
      <w:proofErr w:type="spellStart"/>
      <w:r>
        <w:rPr>
          <w:rFonts w:asciiTheme="majorBidi" w:hAnsiTheme="majorBidi" w:cstheme="majorBidi"/>
          <w:sz w:val="28"/>
          <w:szCs w:val="28"/>
          <w:rtl/>
        </w:rPr>
        <w:t>سايدل</w:t>
      </w:r>
      <w:proofErr w:type="spellEnd"/>
      <w:r>
        <w:rPr>
          <w:rFonts w:asciiTheme="majorBidi" w:hAnsiTheme="majorBidi" w:cstheme="majorBidi"/>
          <w:sz w:val="28"/>
          <w:szCs w:val="28"/>
          <w:rtl/>
        </w:rPr>
        <w:t xml:space="preserve">. وقد أظهرت النتائج العددية أنه من الممكن تحسين العزل الحراري عن طريق إدخال أزواج من الواح العزل التي تعمل على تقليل الحمل الحراري في الحلقة المسامية الأفقية </w:t>
      </w:r>
      <w:proofErr w:type="spellStart"/>
      <w:r>
        <w:rPr>
          <w:rFonts w:asciiTheme="majorBidi" w:hAnsiTheme="majorBidi" w:cstheme="majorBidi"/>
          <w:sz w:val="28"/>
          <w:szCs w:val="28"/>
          <w:rtl/>
        </w:rPr>
        <w:t>المشبعة.و</w:t>
      </w:r>
      <w:proofErr w:type="spellEnd"/>
      <w:r>
        <w:rPr>
          <w:rFonts w:asciiTheme="majorBidi" w:hAnsiTheme="majorBidi" w:cstheme="majorBidi"/>
          <w:sz w:val="28"/>
          <w:szCs w:val="28"/>
          <w:rtl/>
        </w:rPr>
        <w:t xml:space="preserve"> في احسن النتائج لثلاث ازواج من الالواح العازلة المتصلة </w:t>
      </w:r>
      <w:proofErr w:type="spellStart"/>
      <w:r>
        <w:rPr>
          <w:rFonts w:asciiTheme="majorBidi" w:hAnsiTheme="majorBidi" w:cstheme="majorBidi"/>
          <w:sz w:val="28"/>
          <w:szCs w:val="28"/>
          <w:rtl/>
        </w:rPr>
        <w:t>بالاسطوانة</w:t>
      </w:r>
      <w:proofErr w:type="spellEnd"/>
      <w:r>
        <w:rPr>
          <w:rFonts w:asciiTheme="majorBidi" w:hAnsiTheme="majorBidi" w:cstheme="majorBidi"/>
          <w:sz w:val="28"/>
          <w:szCs w:val="28"/>
          <w:rtl/>
        </w:rPr>
        <w:t xml:space="preserve"> الداخلية فانا تحصلنا على نسبة </w:t>
      </w:r>
      <w:r>
        <w:rPr>
          <w:rFonts w:asciiTheme="majorBidi" w:hAnsiTheme="majorBidi" w:cstheme="majorBidi"/>
          <w:i/>
          <w:sz w:val="28"/>
          <w:szCs w:val="28"/>
          <w:rtl/>
        </w:rPr>
        <w:t xml:space="preserve"> انخفاض ب </w:t>
      </w:r>
      <w:r>
        <w:rPr>
          <w:rFonts w:asciiTheme="majorBidi" w:hAnsiTheme="majorBidi" w:cstheme="majorBidi"/>
          <w:iCs/>
          <w:sz w:val="28"/>
          <w:szCs w:val="28"/>
        </w:rPr>
        <w:t>12</w:t>
      </w:r>
      <w:r>
        <w:rPr>
          <w:rFonts w:asciiTheme="majorBidi" w:hAnsiTheme="majorBidi" w:cstheme="majorBidi"/>
          <w:iCs/>
          <w:sz w:val="28"/>
          <w:szCs w:val="28"/>
          <w:rtl/>
        </w:rPr>
        <w:t xml:space="preserve"> </w:t>
      </w:r>
      <w:r>
        <w:rPr>
          <w:rFonts w:asciiTheme="majorBidi" w:hAnsiTheme="majorBidi" w:cstheme="majorBidi"/>
          <w:iCs/>
          <w:sz w:val="28"/>
          <w:szCs w:val="28"/>
        </w:rPr>
        <w:t>%</w:t>
      </w:r>
      <w:r>
        <w:rPr>
          <w:rFonts w:asciiTheme="majorBidi" w:hAnsiTheme="majorBidi" w:cstheme="majorBidi"/>
          <w:i/>
          <w:sz w:val="28"/>
          <w:szCs w:val="28"/>
          <w:rtl/>
        </w:rPr>
        <w:t xml:space="preserve"> في الطاقة الحرارية الاجمالية الضائعة.</w:t>
      </w:r>
    </w:p>
    <w:p w:rsidR="00A13E91" w:rsidRDefault="00A13E91" w:rsidP="00A13E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ascii="Courier New" w:eastAsia="Times New Roman" w:hAnsi="Courier New" w:cs="Courier New"/>
          <w:sz w:val="28"/>
          <w:szCs w:val="28"/>
          <w:lang w:val="en-US" w:eastAsia="fr-FR" w:bidi="ar-DZ"/>
        </w:rPr>
      </w:pPr>
    </w:p>
    <w:p w:rsidR="00A13E91" w:rsidRDefault="00A13E91" w:rsidP="00A13E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ascii="Courier New" w:eastAsia="Times New Roman" w:hAnsi="Courier New" w:cs="Courier New"/>
          <w:sz w:val="28"/>
          <w:szCs w:val="28"/>
          <w:lang w:val="en-US" w:eastAsia="fr-FR" w:bidi="ar-DZ"/>
        </w:rPr>
      </w:pPr>
    </w:p>
    <w:p w:rsidR="00A13E91" w:rsidRDefault="00A13E91" w:rsidP="00A13E91">
      <w:pPr>
        <w:pStyle w:val="PrformatHTML"/>
        <w:bidi/>
        <w:rPr>
          <w:i/>
          <w:iCs/>
          <w:sz w:val="28"/>
          <w:szCs w:val="28"/>
          <w:lang w:val="en-US"/>
        </w:rPr>
      </w:pPr>
      <w:r>
        <w:rPr>
          <w:rFonts w:asciiTheme="majorBidi" w:hAnsiTheme="majorBidi" w:cstheme="majorBidi"/>
          <w:iCs/>
          <w:sz w:val="28"/>
          <w:szCs w:val="28"/>
          <w:rtl/>
          <w:lang w:bidi="ar-DZ"/>
        </w:rPr>
        <w:t>كلمات مفتاحية:</w:t>
      </w:r>
      <w:r>
        <w:rPr>
          <w:rFonts w:asciiTheme="majorBidi" w:hAnsiTheme="majorBidi" w:cstheme="majorBidi"/>
          <w:iCs/>
          <w:sz w:val="28"/>
          <w:szCs w:val="28"/>
          <w:rtl/>
        </w:rPr>
        <w:t xml:space="preserve"> وسط مسامي ، نقل الحرارة، نموذج دارسي-</w:t>
      </w:r>
      <w:proofErr w:type="spellStart"/>
      <w:r>
        <w:rPr>
          <w:rFonts w:asciiTheme="majorBidi" w:hAnsiTheme="majorBidi" w:cstheme="majorBidi"/>
          <w:iCs/>
          <w:sz w:val="28"/>
          <w:szCs w:val="28"/>
          <w:rtl/>
        </w:rPr>
        <w:t>برينكمان</w:t>
      </w:r>
      <w:proofErr w:type="spellEnd"/>
      <w:r>
        <w:rPr>
          <w:rFonts w:asciiTheme="majorBidi" w:hAnsiTheme="majorBidi" w:cstheme="majorBidi"/>
          <w:iCs/>
          <w:sz w:val="28"/>
          <w:szCs w:val="28"/>
          <w:rtl/>
        </w:rPr>
        <w:t xml:space="preserve"> ، الحمل الحراري الطبيعي ، الواح العزل ، حج</w:t>
      </w:r>
      <w:r>
        <w:rPr>
          <w:rFonts w:asciiTheme="majorBidi" w:hAnsiTheme="majorBidi" w:cstheme="majorBidi"/>
          <w:iCs/>
          <w:sz w:val="28"/>
          <w:szCs w:val="28"/>
          <w:rtl/>
          <w:lang w:bidi="ar-DZ"/>
        </w:rPr>
        <w:t>و</w:t>
      </w:r>
      <w:r>
        <w:rPr>
          <w:rFonts w:asciiTheme="majorBidi" w:hAnsiTheme="majorBidi" w:cstheme="majorBidi"/>
          <w:iCs/>
          <w:sz w:val="28"/>
          <w:szCs w:val="28"/>
          <w:rtl/>
        </w:rPr>
        <w:t>م منتهية</w:t>
      </w:r>
      <w:r>
        <w:rPr>
          <w:rFonts w:hint="cs"/>
          <w:i/>
          <w:iCs/>
          <w:sz w:val="28"/>
          <w:szCs w:val="28"/>
          <w:rtl/>
        </w:rPr>
        <w:t>.</w:t>
      </w:r>
    </w:p>
    <w:p w:rsidR="00A13E91" w:rsidRDefault="00A13E91" w:rsidP="00A13E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ascii="Courier New" w:eastAsia="Times New Roman" w:hAnsi="Courier New" w:cs="Courier New"/>
          <w:i/>
          <w:iCs/>
          <w:sz w:val="28"/>
          <w:szCs w:val="28"/>
          <w:lang w:eastAsia="fr-FR" w:bidi="ar-DZ"/>
        </w:rPr>
      </w:pPr>
    </w:p>
    <w:p w:rsidR="00A13E91" w:rsidRDefault="00A13E91" w:rsidP="00A13E91">
      <w:pPr>
        <w:tabs>
          <w:tab w:val="left" w:pos="8505"/>
        </w:tabs>
        <w:spacing w:line="240" w:lineRule="auto"/>
        <w:jc w:val="both"/>
        <w:rPr>
          <w:rFonts w:ascii="MV Boli" w:hAnsi="MV Boli" w:cs="MV Boli"/>
          <w:sz w:val="24"/>
          <w:szCs w:val="24"/>
          <w:rtl/>
          <w:lang w:bidi="ar-DZ"/>
        </w:rPr>
      </w:pPr>
    </w:p>
    <w:p w:rsidR="00616C89" w:rsidRDefault="00616C89">
      <w:pPr>
        <w:rPr>
          <w:lang w:bidi="ar-DZ"/>
        </w:rPr>
      </w:pPr>
    </w:p>
    <w:sectPr w:rsidR="00616C89" w:rsidSect="00616C8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V Boli">
    <w:panose1 w:val="02000500030200090000"/>
    <w:charset w:val="00"/>
    <w:family w:val="auto"/>
    <w:pitch w:val="variable"/>
    <w:sig w:usb0="00000003" w:usb1="00000000" w:usb2="000001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compat>
    <w:compatSetting w:name="compatibilityMode" w:uri="http://schemas.microsoft.com/office/word" w:val="12"/>
  </w:compat>
  <w:rsids>
    <w:rsidRoot w:val="005A5731"/>
    <w:rsid w:val="000C6693"/>
    <w:rsid w:val="001678FC"/>
    <w:rsid w:val="0029481F"/>
    <w:rsid w:val="00390974"/>
    <w:rsid w:val="00391CB3"/>
    <w:rsid w:val="003B2ECE"/>
    <w:rsid w:val="00412D91"/>
    <w:rsid w:val="00465347"/>
    <w:rsid w:val="004C0364"/>
    <w:rsid w:val="00583CEE"/>
    <w:rsid w:val="005A1888"/>
    <w:rsid w:val="005A5731"/>
    <w:rsid w:val="00616C89"/>
    <w:rsid w:val="00695768"/>
    <w:rsid w:val="006A3DA5"/>
    <w:rsid w:val="006F2484"/>
    <w:rsid w:val="007E1B9C"/>
    <w:rsid w:val="00A13E91"/>
    <w:rsid w:val="00B558A0"/>
    <w:rsid w:val="00BA091A"/>
    <w:rsid w:val="00C26221"/>
    <w:rsid w:val="00C460BD"/>
    <w:rsid w:val="00C94370"/>
    <w:rsid w:val="00CF211A"/>
    <w:rsid w:val="00D47538"/>
    <w:rsid w:val="00ED7BD1"/>
    <w:rsid w:val="00EE28BC"/>
    <w:rsid w:val="00F43AE3"/>
    <w:rsid w:val="00F8694E"/>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3E91"/>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ev">
    <w:name w:val="Strong"/>
    <w:basedOn w:val="Policepardfaut"/>
    <w:uiPriority w:val="22"/>
    <w:qFormat/>
    <w:rsid w:val="007E1B9C"/>
    <w:rPr>
      <w:b/>
      <w:bCs/>
    </w:rPr>
  </w:style>
  <w:style w:type="paragraph" w:styleId="Paragraphedeliste">
    <w:name w:val="List Paragraph"/>
    <w:basedOn w:val="Normal"/>
    <w:uiPriority w:val="34"/>
    <w:qFormat/>
    <w:rsid w:val="007E1B9C"/>
    <w:pPr>
      <w:ind w:left="720"/>
      <w:contextualSpacing/>
    </w:pPr>
  </w:style>
  <w:style w:type="paragraph" w:styleId="PrformatHTML">
    <w:name w:val="HTML Preformatted"/>
    <w:basedOn w:val="Normal"/>
    <w:link w:val="PrformatHTMLCar"/>
    <w:uiPriority w:val="99"/>
    <w:semiHidden/>
    <w:unhideWhenUsed/>
    <w:rsid w:val="00A13E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A13E91"/>
    <w:rPr>
      <w:rFonts w:ascii="Courier New" w:eastAsia="Times New Roman" w:hAnsi="Courier New" w:cs="Courier New"/>
      <w:sz w:val="20"/>
      <w:szCs w:val="20"/>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04790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526</Words>
  <Characters>2896</Characters>
  <Application>Microsoft Office Word</Application>
  <DocSecurity>0</DocSecurity>
  <Lines>24</Lines>
  <Paragraphs>6</Paragraphs>
  <ScaleCrop>false</ScaleCrop>
  <Company>Microsoft</Company>
  <LinksUpToDate>false</LinksUpToDate>
  <CharactersWithSpaces>3416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ADEL</dc:creator>
  <cp:keywords/>
  <dc:description/>
  <cp:lastModifiedBy>ADEL</cp:lastModifiedBy>
  <cp:revision>2</cp:revision>
  <dcterms:created xsi:type="dcterms:W3CDTF">2015-11-03T21:44:00Z</dcterms:created>
  <dcterms:modified xsi:type="dcterms:W3CDTF">2015-11-03T21:45:00Z</dcterms:modified>
</cp:coreProperties>
</file>