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8AF" w:rsidRPr="00BD6AE4" w:rsidRDefault="004408AF" w:rsidP="004408AF">
      <w:pPr>
        <w:tabs>
          <w:tab w:val="left" w:pos="567"/>
        </w:tabs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BD6AE4">
        <w:rPr>
          <w:rFonts w:asciiTheme="majorBidi" w:hAnsiTheme="majorBidi" w:cstheme="majorBidi"/>
          <w:b/>
          <w:bCs/>
          <w:sz w:val="24"/>
          <w:szCs w:val="24"/>
        </w:rPr>
        <w:t>Résumé :</w:t>
      </w:r>
    </w:p>
    <w:p w:rsidR="00F31945" w:rsidRPr="00BD6AE4" w:rsidRDefault="004408AF" w:rsidP="00C67812">
      <w:pPr>
        <w:tabs>
          <w:tab w:val="left" w:pos="284"/>
        </w:tabs>
        <w:spacing w:after="0"/>
        <w:jc w:val="both"/>
        <w:rPr>
          <w:rFonts w:asciiTheme="majorBidi" w:hAnsiTheme="majorBidi" w:cstheme="majorBidi"/>
          <w:sz w:val="20"/>
          <w:szCs w:val="20"/>
        </w:rPr>
      </w:pPr>
      <w:r w:rsidRPr="00BD6AE4">
        <w:rPr>
          <w:rFonts w:asciiTheme="majorBidi" w:hAnsiTheme="majorBidi" w:cstheme="majorBidi"/>
          <w:sz w:val="20"/>
          <w:szCs w:val="20"/>
        </w:rPr>
        <w:tab/>
        <w:t>L’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échinococose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 hydatique est une zoonose parasitaire cosmopolite, sévit de façon endémique dans de nombreux pays du bassin méditerranéen. C’est le cas de l’Algérie ou elle constitue un problème de santé publique. </w:t>
      </w:r>
    </w:p>
    <w:p w:rsidR="004408AF" w:rsidRPr="00BD6AE4" w:rsidRDefault="004408AF" w:rsidP="004408AF">
      <w:pPr>
        <w:tabs>
          <w:tab w:val="left" w:pos="284"/>
        </w:tabs>
        <w:spacing w:after="0"/>
        <w:jc w:val="both"/>
        <w:rPr>
          <w:rFonts w:asciiTheme="majorBidi" w:hAnsiTheme="majorBidi" w:cstheme="majorBidi"/>
          <w:sz w:val="20"/>
          <w:szCs w:val="20"/>
        </w:rPr>
      </w:pPr>
    </w:p>
    <w:p w:rsidR="004408AF" w:rsidRPr="00BD6AE4" w:rsidRDefault="004408AF" w:rsidP="00C67812">
      <w:pPr>
        <w:tabs>
          <w:tab w:val="left" w:pos="284"/>
        </w:tabs>
        <w:spacing w:after="0"/>
        <w:jc w:val="both"/>
        <w:rPr>
          <w:rFonts w:asciiTheme="majorBidi" w:hAnsiTheme="majorBidi" w:cstheme="majorBidi"/>
          <w:sz w:val="20"/>
          <w:szCs w:val="20"/>
          <w:highlight w:val="yellow"/>
        </w:rPr>
      </w:pPr>
      <w:r w:rsidRPr="00BD6AE4">
        <w:rPr>
          <w:rFonts w:asciiTheme="majorBidi" w:hAnsiTheme="majorBidi" w:cstheme="majorBidi"/>
          <w:sz w:val="20"/>
          <w:szCs w:val="20"/>
        </w:rPr>
        <w:tab/>
        <w:t xml:space="preserve">Le premier objectif de notre thèse, a porté sur l’étude de l’effet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antihydatique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 et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immunomodulateur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 de l’extrait aqueux de l’écorce de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Pomegranate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 (</w:t>
      </w:r>
      <w:proofErr w:type="spellStart"/>
      <w:r w:rsidRPr="00BD6AE4">
        <w:rPr>
          <w:rFonts w:asciiTheme="majorBidi" w:hAnsiTheme="majorBidi" w:cstheme="majorBidi"/>
          <w:i/>
          <w:iCs/>
          <w:sz w:val="20"/>
          <w:szCs w:val="20"/>
        </w:rPr>
        <w:t>Punica</w:t>
      </w:r>
      <w:proofErr w:type="spellEnd"/>
      <w:r w:rsidRPr="00BD6AE4">
        <w:rPr>
          <w:rFonts w:asciiTheme="majorBidi" w:hAnsiTheme="majorBidi" w:cstheme="majorBidi"/>
          <w:i/>
          <w:iCs/>
          <w:sz w:val="20"/>
          <w:szCs w:val="20"/>
        </w:rPr>
        <w:t xml:space="preserve"> </w:t>
      </w:r>
      <w:proofErr w:type="spellStart"/>
      <w:r w:rsidRPr="00BD6AE4">
        <w:rPr>
          <w:rFonts w:asciiTheme="majorBidi" w:hAnsiTheme="majorBidi" w:cstheme="majorBidi"/>
          <w:i/>
          <w:iCs/>
          <w:sz w:val="20"/>
          <w:szCs w:val="20"/>
        </w:rPr>
        <w:t>granatum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). Afin de palier aux effets secondaires occasionnés par la chimiothérapie, nous avons ciblé une autre stratégie. C’est dans cette optique, que la bithérapie (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Pomegranate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/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Albendazole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) a été choisie comme alternative thérapeutique. L’autre volet de notre étude portera sur l’utilisation d’une cytokine de la voie Th17, IL-17A, partant des prescriptives posées par notre équipe.</w:t>
      </w:r>
    </w:p>
    <w:p w:rsidR="004408AF" w:rsidRPr="00BD6AE4" w:rsidRDefault="004408AF" w:rsidP="00C67812">
      <w:pPr>
        <w:tabs>
          <w:tab w:val="left" w:pos="284"/>
        </w:tabs>
        <w:jc w:val="both"/>
        <w:rPr>
          <w:rFonts w:asciiTheme="majorBidi" w:eastAsia="Times New Roman" w:hAnsiTheme="majorBidi" w:cstheme="majorBidi"/>
          <w:kern w:val="36"/>
          <w:sz w:val="20"/>
          <w:szCs w:val="20"/>
          <w:lang w:eastAsia="fr-FR"/>
        </w:rPr>
      </w:pPr>
      <w:r w:rsidRPr="00BD6AE4">
        <w:rPr>
          <w:rFonts w:asciiTheme="majorBidi" w:hAnsiTheme="majorBidi" w:cstheme="majorBidi"/>
          <w:sz w:val="20"/>
          <w:szCs w:val="20"/>
        </w:rPr>
        <w:t>Notre problématique ciblant  à la fois l’étude de la pathogénicité des kystes hydatiques et les effets anti-hydatiques, voir hépatotoxiques et hépato-protecteurs de l’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Albendazole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, du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Praziquantel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,  du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Pomegranate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 et de l’IL-17 fera l’objet de notre troisième préoccupation. </w:t>
      </w:r>
    </w:p>
    <w:p w:rsidR="004408AF" w:rsidRPr="00BD6AE4" w:rsidRDefault="004408AF" w:rsidP="00784B6F">
      <w:pPr>
        <w:tabs>
          <w:tab w:val="left" w:pos="284"/>
        </w:tabs>
        <w:spacing w:after="0"/>
        <w:jc w:val="both"/>
        <w:rPr>
          <w:rFonts w:asciiTheme="majorBidi" w:hAnsiTheme="majorBidi" w:cstheme="majorBidi"/>
          <w:sz w:val="20"/>
          <w:szCs w:val="20"/>
          <w:highlight w:val="cyan"/>
        </w:rPr>
      </w:pPr>
      <w:r w:rsidRPr="00BD6AE4">
        <w:rPr>
          <w:rFonts w:asciiTheme="majorBidi" w:hAnsiTheme="majorBidi" w:cstheme="majorBidi"/>
          <w:sz w:val="20"/>
          <w:szCs w:val="20"/>
        </w:rPr>
        <w:tab/>
        <w:t xml:space="preserve">Nos résultats ont montré un effet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scolicidal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, anti</w:t>
      </w:r>
      <w:r w:rsidR="00784B6F" w:rsidRPr="00BD6AE4">
        <w:rPr>
          <w:rFonts w:asciiTheme="majorBidi" w:hAnsiTheme="majorBidi" w:cstheme="majorBidi"/>
          <w:sz w:val="20"/>
          <w:szCs w:val="20"/>
        </w:rPr>
        <w:t>-</w:t>
      </w:r>
      <w:r w:rsidRPr="00BD6AE4">
        <w:rPr>
          <w:rFonts w:asciiTheme="majorBidi" w:hAnsiTheme="majorBidi" w:cstheme="majorBidi"/>
          <w:sz w:val="20"/>
          <w:szCs w:val="20"/>
        </w:rPr>
        <w:t xml:space="preserve">hydatique et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immuno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 xml:space="preserve">-modulateur du 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Promegranate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. Le deuxième point relevant de la bithérapie (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Pomegranate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/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Albendazole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) a indiqué une haute efficacité de cette dernière, justifiée par la réduction notable des effets toxiques induits par l’administration conventionnelle unique de l’</w:t>
      </w:r>
      <w:proofErr w:type="spellStart"/>
      <w:r w:rsidRPr="00BD6AE4">
        <w:rPr>
          <w:rFonts w:asciiTheme="majorBidi" w:hAnsiTheme="majorBidi" w:cstheme="majorBidi"/>
          <w:sz w:val="20"/>
          <w:szCs w:val="20"/>
        </w:rPr>
        <w:t>Albendazole</w:t>
      </w:r>
      <w:proofErr w:type="spellEnd"/>
      <w:r w:rsidRPr="00BD6AE4">
        <w:rPr>
          <w:rFonts w:asciiTheme="majorBidi" w:hAnsiTheme="majorBidi" w:cstheme="majorBidi"/>
          <w:sz w:val="20"/>
          <w:szCs w:val="20"/>
        </w:rPr>
        <w:t>.</w:t>
      </w:r>
    </w:p>
    <w:p w:rsidR="004408AF" w:rsidRPr="00BD6AE4" w:rsidRDefault="004408AF" w:rsidP="004408AF">
      <w:pPr>
        <w:tabs>
          <w:tab w:val="left" w:pos="567"/>
          <w:tab w:val="left" w:pos="1275"/>
        </w:tabs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  <w:highlight w:val="cyan"/>
        </w:rPr>
      </w:pPr>
    </w:p>
    <w:p w:rsidR="004408AF" w:rsidRDefault="004408AF" w:rsidP="00FB4D2F">
      <w:pPr>
        <w:tabs>
          <w:tab w:val="left" w:pos="567"/>
          <w:tab w:val="left" w:pos="1275"/>
        </w:tabs>
        <w:spacing w:after="0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6AE4">
        <w:rPr>
          <w:rFonts w:asciiTheme="majorBidi" w:hAnsiTheme="majorBidi" w:cstheme="majorBidi"/>
          <w:sz w:val="20"/>
          <w:szCs w:val="20"/>
        </w:rPr>
        <w:t xml:space="preserve">Au terme de notre travail, </w:t>
      </w:r>
      <w:r w:rsidR="00BD6AE4" w:rsidRPr="00BD6AE4">
        <w:rPr>
          <w:rFonts w:asciiTheme="majorBidi" w:hAnsiTheme="majorBidi" w:cstheme="majorBidi"/>
          <w:sz w:val="20"/>
          <w:szCs w:val="20"/>
        </w:rPr>
        <w:t>nous sommes parvenus à argumenter</w:t>
      </w:r>
      <w:r w:rsidRPr="00BD6AE4">
        <w:rPr>
          <w:rFonts w:asciiTheme="majorBidi" w:hAnsiTheme="majorBidi" w:cstheme="majorBidi"/>
          <w:sz w:val="20"/>
          <w:szCs w:val="20"/>
        </w:rPr>
        <w:t xml:space="preserve"> l’hypothèse émise par notre équipe relative au rôle immuno-protecteur et anti-hydatique de l’IL-17A. </w:t>
      </w:r>
      <w:r w:rsidR="00BD6AE4" w:rsidRPr="00BD6AE4">
        <w:rPr>
          <w:rFonts w:asciiTheme="majorBidi" w:hAnsiTheme="majorBidi" w:cstheme="majorBidi"/>
          <w:sz w:val="20"/>
          <w:szCs w:val="20"/>
        </w:rPr>
        <w:t>No</w:t>
      </w:r>
      <w:r w:rsidRPr="00BD6AE4">
        <w:rPr>
          <w:rFonts w:asciiTheme="majorBidi" w:hAnsiTheme="majorBidi" w:cstheme="majorBidi"/>
          <w:sz w:val="20"/>
          <w:szCs w:val="20"/>
        </w:rPr>
        <w:t>s résultat</w:t>
      </w:r>
      <w:r w:rsidR="00BD6AE4" w:rsidRPr="00BD6AE4">
        <w:rPr>
          <w:rFonts w:asciiTheme="majorBidi" w:hAnsiTheme="majorBidi" w:cstheme="majorBidi"/>
          <w:sz w:val="20"/>
          <w:szCs w:val="20"/>
        </w:rPr>
        <w:t>s</w:t>
      </w:r>
      <w:r w:rsidRPr="00BD6AE4">
        <w:rPr>
          <w:rFonts w:asciiTheme="majorBidi" w:hAnsiTheme="majorBidi" w:cstheme="majorBidi"/>
          <w:sz w:val="20"/>
          <w:szCs w:val="20"/>
        </w:rPr>
        <w:t xml:space="preserve"> </w:t>
      </w:r>
      <w:r w:rsidRPr="00BD6AE4">
        <w:rPr>
          <w:rFonts w:ascii="Times New Roman" w:hAnsi="Times New Roman" w:cs="Times New Roman"/>
          <w:sz w:val="20"/>
          <w:szCs w:val="20"/>
        </w:rPr>
        <w:t>montrent l’e</w:t>
      </w:r>
      <w:r w:rsidRPr="00BD6AE4"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 xml:space="preserve">fficacité de traitement avec 125 </w:t>
      </w:r>
      <w:proofErr w:type="spellStart"/>
      <w:r w:rsidRPr="00BD6AE4"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>pg</w:t>
      </w:r>
      <w:proofErr w:type="spellEnd"/>
      <w:r w:rsidRPr="00BD6AE4"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>/</w:t>
      </w:r>
      <w:proofErr w:type="spellStart"/>
      <w:r w:rsidRPr="00BD6AE4"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>mL</w:t>
      </w:r>
      <w:proofErr w:type="spellEnd"/>
      <w:r w:rsidRPr="00BD6AE4"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 xml:space="preserve"> d’IL-17A du point de vue effet antihydatique et non toxique. L’effet de </w:t>
      </w:r>
      <w:r w:rsidR="002B4102" w:rsidRPr="00BD6AE4"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 xml:space="preserve">la </w:t>
      </w:r>
      <w:r w:rsidRPr="00BD6AE4"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>thérapie cytokinique est donc dose dépendant.</w:t>
      </w:r>
      <w:r w:rsidRPr="00BD6AE4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7147" w:rsidRDefault="00F97147" w:rsidP="00F97147">
      <w:pPr>
        <w:tabs>
          <w:tab w:val="left" w:pos="567"/>
          <w:tab w:val="left" w:pos="1275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4408AF" w:rsidRDefault="004408AF" w:rsidP="004408AF">
      <w:pPr>
        <w:tabs>
          <w:tab w:val="left" w:pos="567"/>
          <w:tab w:val="left" w:pos="1275"/>
        </w:tabs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442E0E" w:rsidRPr="004408AF" w:rsidRDefault="00442E0E" w:rsidP="004408AF">
      <w:pPr>
        <w:rPr>
          <w:szCs w:val="24"/>
        </w:rPr>
      </w:pPr>
    </w:p>
    <w:sectPr w:rsidR="00442E0E" w:rsidRPr="004408AF" w:rsidSect="004B4F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BB77A8"/>
    <w:rsid w:val="00022E92"/>
    <w:rsid w:val="000B28A7"/>
    <w:rsid w:val="0014101D"/>
    <w:rsid w:val="00195C74"/>
    <w:rsid w:val="0021145C"/>
    <w:rsid w:val="00235C60"/>
    <w:rsid w:val="00290591"/>
    <w:rsid w:val="002B4102"/>
    <w:rsid w:val="002D6D68"/>
    <w:rsid w:val="00311C74"/>
    <w:rsid w:val="00362570"/>
    <w:rsid w:val="003758E0"/>
    <w:rsid w:val="003B40A8"/>
    <w:rsid w:val="004408AF"/>
    <w:rsid w:val="00442E0E"/>
    <w:rsid w:val="004B4F3B"/>
    <w:rsid w:val="004B60F2"/>
    <w:rsid w:val="005128C7"/>
    <w:rsid w:val="0052551C"/>
    <w:rsid w:val="0055385D"/>
    <w:rsid w:val="0055648A"/>
    <w:rsid w:val="00575BD7"/>
    <w:rsid w:val="005E44E0"/>
    <w:rsid w:val="00651F7D"/>
    <w:rsid w:val="00654B87"/>
    <w:rsid w:val="006C6E53"/>
    <w:rsid w:val="006E3E7F"/>
    <w:rsid w:val="0072026A"/>
    <w:rsid w:val="007530E7"/>
    <w:rsid w:val="00784B6F"/>
    <w:rsid w:val="0087644B"/>
    <w:rsid w:val="008B6D67"/>
    <w:rsid w:val="008C51B6"/>
    <w:rsid w:val="00951810"/>
    <w:rsid w:val="00996F10"/>
    <w:rsid w:val="009C0031"/>
    <w:rsid w:val="00A13D81"/>
    <w:rsid w:val="00A54242"/>
    <w:rsid w:val="00B27476"/>
    <w:rsid w:val="00B31E8F"/>
    <w:rsid w:val="00B34A98"/>
    <w:rsid w:val="00BB6C4B"/>
    <w:rsid w:val="00BB77A8"/>
    <w:rsid w:val="00BD6AE4"/>
    <w:rsid w:val="00C67812"/>
    <w:rsid w:val="00CC7ACF"/>
    <w:rsid w:val="00CE7B8B"/>
    <w:rsid w:val="00D46814"/>
    <w:rsid w:val="00E9045B"/>
    <w:rsid w:val="00F31945"/>
    <w:rsid w:val="00F97147"/>
    <w:rsid w:val="00FB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8A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8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3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53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3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4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7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moussalabsi</dc:creator>
  <cp:lastModifiedBy>traitement</cp:lastModifiedBy>
  <cp:revision>3</cp:revision>
  <dcterms:created xsi:type="dcterms:W3CDTF">2016-11-21T10:25:00Z</dcterms:created>
  <dcterms:modified xsi:type="dcterms:W3CDTF">2016-11-21T10:25:00Z</dcterms:modified>
</cp:coreProperties>
</file>