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2D4B" w:rsidRPr="007756C1" w:rsidRDefault="007756C1" w:rsidP="007756C1">
      <w:pPr>
        <w:tabs>
          <w:tab w:val="left" w:pos="3918"/>
        </w:tabs>
        <w:jc w:val="center"/>
        <w:rPr>
          <w:b/>
        </w:rPr>
      </w:pPr>
      <w:r w:rsidRPr="007756C1">
        <w:rPr>
          <w:b/>
          <w:sz w:val="32"/>
        </w:rPr>
        <w:t>Résumé</w:t>
      </w:r>
    </w:p>
    <w:p w:rsidR="002D2D4B" w:rsidRPr="002D2D4B" w:rsidRDefault="00A04F7C" w:rsidP="002D2D4B">
      <w:pPr>
        <w:autoSpaceDE w:val="0"/>
        <w:autoSpaceDN w:val="0"/>
        <w:adjustRightInd w:val="0"/>
        <w:spacing w:line="276" w:lineRule="auto"/>
        <w:jc w:val="both"/>
        <w:rPr>
          <w:rFonts w:asciiTheme="majorBidi" w:hAnsiTheme="majorBidi" w:cstheme="majorBidi"/>
          <w:szCs w:val="22"/>
        </w:rPr>
      </w:pPr>
      <w:r>
        <w:rPr>
          <w:rFonts w:asciiTheme="majorBidi" w:hAnsiTheme="majorBidi" w:cstheme="majorBidi"/>
          <w:szCs w:val="22"/>
        </w:rPr>
        <w:t xml:space="preserve">           </w:t>
      </w:r>
      <w:r w:rsidR="002D2D4B" w:rsidRPr="002D2D4B">
        <w:rPr>
          <w:rFonts w:asciiTheme="majorBidi" w:hAnsiTheme="majorBidi" w:cstheme="majorBidi"/>
          <w:szCs w:val="22"/>
        </w:rPr>
        <w:t xml:space="preserve">La prévention nutritionnelle du syndrome métabolique dont l’incidence ne cesse d’augmenter dans les pays industrialisés, entraînant des risques accrus de diabètes de type 2 (DT2) et de maladies cardiovasculaires dont les cardiopathies ischémiques, apparaît comme un enjeu important de Santé publique. Dans ce mémoire nous montrons qu’en captivité et soumis à un régime standard de laboratoire (RHC), </w:t>
      </w:r>
      <w:r w:rsidR="002D2D4B" w:rsidRPr="002D2D4B">
        <w:rPr>
          <w:rFonts w:asciiTheme="majorBidi" w:hAnsiTheme="majorBidi" w:cstheme="majorBidi"/>
          <w:i/>
          <w:iCs/>
          <w:szCs w:val="22"/>
        </w:rPr>
        <w:t xml:space="preserve">Po, </w:t>
      </w:r>
      <w:r w:rsidR="002D2D4B" w:rsidRPr="002D2D4B">
        <w:rPr>
          <w:rFonts w:asciiTheme="majorBidi" w:hAnsiTheme="majorBidi" w:cstheme="majorBidi"/>
          <w:szCs w:val="22"/>
        </w:rPr>
        <w:t xml:space="preserve">contrairement au rat </w:t>
      </w:r>
      <w:proofErr w:type="spellStart"/>
      <w:r w:rsidR="002D2D4B" w:rsidRPr="002D2D4B">
        <w:rPr>
          <w:rFonts w:asciiTheme="majorBidi" w:hAnsiTheme="majorBidi" w:cstheme="majorBidi"/>
          <w:szCs w:val="22"/>
        </w:rPr>
        <w:t>Wistar</w:t>
      </w:r>
      <w:proofErr w:type="spellEnd"/>
      <w:r w:rsidR="002D2D4B" w:rsidRPr="002D2D4B">
        <w:rPr>
          <w:rFonts w:asciiTheme="majorBidi" w:hAnsiTheme="majorBidi" w:cstheme="majorBidi"/>
          <w:szCs w:val="22"/>
        </w:rPr>
        <w:t xml:space="preserve">, développent un SM typique. Dans son biotope </w:t>
      </w:r>
      <w:r w:rsidR="002D2D4B" w:rsidRPr="002D2D4B">
        <w:rPr>
          <w:rFonts w:asciiTheme="majorBidi" w:hAnsiTheme="majorBidi" w:cstheme="majorBidi"/>
          <w:i/>
          <w:szCs w:val="22"/>
        </w:rPr>
        <w:t>Po</w:t>
      </w:r>
      <w:r w:rsidR="002D2D4B" w:rsidRPr="002D2D4B">
        <w:rPr>
          <w:rFonts w:asciiTheme="majorBidi" w:hAnsiTheme="majorBidi" w:cstheme="majorBidi"/>
          <w:szCs w:val="22"/>
        </w:rPr>
        <w:t xml:space="preserve"> se distingue du </w:t>
      </w:r>
      <w:proofErr w:type="spellStart"/>
      <w:r w:rsidR="002D2D4B" w:rsidRPr="002D2D4B">
        <w:rPr>
          <w:rFonts w:asciiTheme="majorBidi" w:hAnsiTheme="majorBidi" w:cstheme="majorBidi"/>
          <w:szCs w:val="22"/>
        </w:rPr>
        <w:t>Wistar</w:t>
      </w:r>
      <w:proofErr w:type="spellEnd"/>
      <w:r w:rsidR="002D2D4B" w:rsidRPr="002D2D4B">
        <w:rPr>
          <w:rFonts w:asciiTheme="majorBidi" w:hAnsiTheme="majorBidi" w:cstheme="majorBidi"/>
          <w:szCs w:val="22"/>
        </w:rPr>
        <w:t xml:space="preserve"> par une glycémie très basse et un taux d’insuline naturellement élevé. Le changement de régime alimentaire bouleverse très rapidement son équilibre métabolique : la glycémie s’élève, le stockage adipeux s’accroît. Son </w:t>
      </w:r>
      <w:proofErr w:type="spellStart"/>
      <w:r w:rsidR="002D2D4B" w:rsidRPr="002D2D4B">
        <w:rPr>
          <w:rFonts w:asciiTheme="majorBidi" w:hAnsiTheme="majorBidi" w:cstheme="majorBidi"/>
          <w:szCs w:val="22"/>
        </w:rPr>
        <w:t>insulinorésistance</w:t>
      </w:r>
      <w:proofErr w:type="spellEnd"/>
      <w:r w:rsidR="002D2D4B" w:rsidRPr="002D2D4B">
        <w:rPr>
          <w:rFonts w:asciiTheme="majorBidi" w:hAnsiTheme="majorBidi" w:cstheme="majorBidi"/>
          <w:szCs w:val="22"/>
        </w:rPr>
        <w:t xml:space="preserve"> s’aggrave et </w:t>
      </w:r>
      <w:r w:rsidR="002D2D4B" w:rsidRPr="002D2D4B">
        <w:rPr>
          <w:rFonts w:asciiTheme="majorBidi" w:hAnsiTheme="majorBidi" w:cstheme="majorBidi"/>
          <w:i/>
          <w:iCs/>
          <w:szCs w:val="22"/>
        </w:rPr>
        <w:t xml:space="preserve">Po </w:t>
      </w:r>
      <w:r w:rsidR="002D2D4B" w:rsidRPr="002D2D4B">
        <w:rPr>
          <w:rFonts w:asciiTheme="majorBidi" w:hAnsiTheme="majorBidi" w:cstheme="majorBidi"/>
          <w:szCs w:val="22"/>
        </w:rPr>
        <w:t xml:space="preserve">devient franchement  </w:t>
      </w:r>
      <w:proofErr w:type="spellStart"/>
      <w:r w:rsidR="002D2D4B" w:rsidRPr="002D2D4B">
        <w:rPr>
          <w:rFonts w:asciiTheme="majorBidi" w:hAnsiTheme="majorBidi" w:cstheme="majorBidi"/>
          <w:szCs w:val="22"/>
        </w:rPr>
        <w:t>hyperglycémique</w:t>
      </w:r>
      <w:proofErr w:type="spellEnd"/>
      <w:r w:rsidR="002D2D4B" w:rsidRPr="002D2D4B">
        <w:rPr>
          <w:rFonts w:asciiTheme="majorBidi" w:hAnsiTheme="majorBidi" w:cstheme="majorBidi"/>
          <w:szCs w:val="22"/>
        </w:rPr>
        <w:t xml:space="preserve"> puis </w:t>
      </w:r>
      <w:proofErr w:type="spellStart"/>
      <w:r w:rsidR="002D2D4B" w:rsidRPr="002D2D4B">
        <w:rPr>
          <w:rFonts w:asciiTheme="majorBidi" w:hAnsiTheme="majorBidi" w:cstheme="majorBidi"/>
          <w:szCs w:val="22"/>
        </w:rPr>
        <w:t>insulinopénique</w:t>
      </w:r>
      <w:proofErr w:type="spellEnd"/>
      <w:r w:rsidR="002D2D4B" w:rsidRPr="002D2D4B">
        <w:rPr>
          <w:rFonts w:asciiTheme="majorBidi" w:hAnsiTheme="majorBidi" w:cstheme="majorBidi"/>
          <w:szCs w:val="22"/>
        </w:rPr>
        <w:t xml:space="preserve"> puis </w:t>
      </w:r>
      <w:proofErr w:type="spellStart"/>
      <w:r w:rsidR="002D2D4B" w:rsidRPr="002D2D4B">
        <w:rPr>
          <w:rFonts w:asciiTheme="majorBidi" w:hAnsiTheme="majorBidi" w:cstheme="majorBidi"/>
          <w:szCs w:val="22"/>
        </w:rPr>
        <w:t>insulinorequérant</w:t>
      </w:r>
      <w:proofErr w:type="spellEnd"/>
      <w:r w:rsidR="002D2D4B" w:rsidRPr="002D2D4B">
        <w:rPr>
          <w:rFonts w:asciiTheme="majorBidi" w:hAnsiTheme="majorBidi" w:cstheme="majorBidi"/>
          <w:szCs w:val="22"/>
        </w:rPr>
        <w:t>. L’étude des paramètres biochimiques confirment cette analyse.</w:t>
      </w:r>
    </w:p>
    <w:p w:rsidR="002D2D4B" w:rsidRPr="002D2D4B" w:rsidRDefault="00A04F7C" w:rsidP="002D2D4B">
      <w:pPr>
        <w:spacing w:line="276" w:lineRule="auto"/>
        <w:jc w:val="both"/>
        <w:rPr>
          <w:rFonts w:asciiTheme="majorBidi" w:hAnsiTheme="majorBidi" w:cstheme="majorBidi"/>
          <w:szCs w:val="22"/>
        </w:rPr>
      </w:pPr>
      <w:r>
        <w:rPr>
          <w:rFonts w:asciiTheme="majorBidi" w:hAnsiTheme="majorBidi" w:cstheme="majorBidi"/>
          <w:szCs w:val="22"/>
        </w:rPr>
        <w:t xml:space="preserve">         </w:t>
      </w:r>
      <w:r w:rsidR="002D2D4B" w:rsidRPr="002D2D4B">
        <w:rPr>
          <w:rFonts w:asciiTheme="majorBidi" w:hAnsiTheme="majorBidi" w:cstheme="majorBidi"/>
          <w:szCs w:val="22"/>
        </w:rPr>
        <w:t xml:space="preserve">L’étude histologique du cœur de </w:t>
      </w:r>
      <w:r w:rsidR="002D2D4B" w:rsidRPr="002D2D4B">
        <w:rPr>
          <w:rFonts w:asciiTheme="majorBidi" w:hAnsiTheme="majorBidi" w:cstheme="majorBidi"/>
          <w:i/>
          <w:iCs/>
          <w:szCs w:val="22"/>
        </w:rPr>
        <w:t>Po,</w:t>
      </w:r>
      <w:r w:rsidR="002D2D4B" w:rsidRPr="002D2D4B">
        <w:rPr>
          <w:rFonts w:asciiTheme="majorBidi" w:hAnsiTheme="majorBidi" w:cstheme="majorBidi"/>
          <w:szCs w:val="22"/>
        </w:rPr>
        <w:t xml:space="preserve"> soumis au RHC, montre au bout de 3 mois des anomalies histologiques qui s’aggravent progressivement. A 6 mois les Cardiomyocytes sont atteints de dégénérescences et sont infiltrés par des cellules inflammatoires. On observe, dans la cellule cardiaque, des altérations œdémateuses, des dépôts de </w:t>
      </w:r>
      <w:proofErr w:type="spellStart"/>
      <w:r w:rsidR="002D2D4B" w:rsidRPr="002D2D4B">
        <w:rPr>
          <w:rFonts w:asciiTheme="majorBidi" w:hAnsiTheme="majorBidi" w:cstheme="majorBidi"/>
          <w:szCs w:val="22"/>
        </w:rPr>
        <w:t>mucopolysaccharides</w:t>
      </w:r>
      <w:proofErr w:type="spellEnd"/>
      <w:r w:rsidR="002D2D4B" w:rsidRPr="002D2D4B">
        <w:rPr>
          <w:rFonts w:asciiTheme="majorBidi" w:hAnsiTheme="majorBidi" w:cstheme="majorBidi"/>
          <w:szCs w:val="22"/>
        </w:rPr>
        <w:t xml:space="preserve"> et de substance hyaline. Les Cardiomyocytes sont hypertrophiés, la membrane basale (MB) des Cardiomyocytes est fortement épaissie. Les nécroses observées progressent dans le temps et, au bout de 12mois, tous les </w:t>
      </w:r>
      <w:r w:rsidR="002D2D4B" w:rsidRPr="002D2D4B">
        <w:rPr>
          <w:rFonts w:asciiTheme="majorBidi" w:hAnsiTheme="majorBidi" w:cstheme="majorBidi"/>
          <w:i/>
          <w:iCs/>
          <w:szCs w:val="22"/>
        </w:rPr>
        <w:t>Po</w:t>
      </w:r>
      <w:r w:rsidR="002D2D4B" w:rsidRPr="002D2D4B">
        <w:rPr>
          <w:rFonts w:asciiTheme="majorBidi" w:hAnsiTheme="majorBidi" w:cstheme="majorBidi"/>
          <w:szCs w:val="22"/>
        </w:rPr>
        <w:t xml:space="preserve"> soumis au RHC présentent une fibrose myocardique d’abord focale puis diffuse globale et la formation d'une zone ischémique qui réalisent, au stade ultime, l’aspect classique de zone ischémique que nous retrouvons dans la fibrose myocardique de </w:t>
      </w:r>
      <w:r w:rsidR="002D2D4B" w:rsidRPr="002D2D4B">
        <w:rPr>
          <w:rFonts w:asciiTheme="majorBidi" w:hAnsiTheme="majorBidi" w:cstheme="majorBidi"/>
          <w:i/>
          <w:szCs w:val="22"/>
        </w:rPr>
        <w:t>Po</w:t>
      </w:r>
      <w:r w:rsidR="002D2D4B" w:rsidRPr="002D2D4B">
        <w:rPr>
          <w:rFonts w:asciiTheme="majorBidi" w:hAnsiTheme="majorBidi" w:cstheme="majorBidi"/>
          <w:szCs w:val="22"/>
        </w:rPr>
        <w:t xml:space="preserve"> et selon des stades d’évolution comparable : stade initial, avancé puis final.</w:t>
      </w:r>
    </w:p>
    <w:p w:rsidR="002D2D4B" w:rsidRPr="002D2D4B" w:rsidRDefault="00A04F7C" w:rsidP="002D2D4B">
      <w:pPr>
        <w:autoSpaceDE w:val="0"/>
        <w:autoSpaceDN w:val="0"/>
        <w:adjustRightInd w:val="0"/>
        <w:spacing w:line="240" w:lineRule="auto"/>
        <w:jc w:val="both"/>
        <w:rPr>
          <w:rFonts w:asciiTheme="majorBidi" w:hAnsiTheme="majorBidi" w:cstheme="majorBidi"/>
          <w:szCs w:val="22"/>
        </w:rPr>
      </w:pPr>
      <w:r>
        <w:rPr>
          <w:rFonts w:asciiTheme="majorBidi" w:hAnsiTheme="majorBidi" w:cstheme="majorBidi"/>
          <w:i/>
          <w:iCs/>
          <w:szCs w:val="22"/>
        </w:rPr>
        <w:t xml:space="preserve">         </w:t>
      </w:r>
      <w:r w:rsidR="002D2D4B" w:rsidRPr="002D2D4B">
        <w:rPr>
          <w:rFonts w:asciiTheme="majorBidi" w:hAnsiTheme="majorBidi" w:cstheme="majorBidi"/>
          <w:i/>
          <w:iCs/>
          <w:szCs w:val="22"/>
        </w:rPr>
        <w:t>Psammomys Obesus</w:t>
      </w:r>
      <w:r w:rsidR="002D2D4B" w:rsidRPr="002D2D4B">
        <w:rPr>
          <w:rFonts w:asciiTheme="majorBidi" w:hAnsiTheme="majorBidi" w:cstheme="majorBidi"/>
          <w:szCs w:val="22"/>
        </w:rPr>
        <w:t xml:space="preserve"> qui s’est révélé être un excellent modèle pour l’étude des </w:t>
      </w:r>
      <w:proofErr w:type="spellStart"/>
      <w:r w:rsidR="002D2D4B" w:rsidRPr="002D2D4B">
        <w:rPr>
          <w:rFonts w:asciiTheme="majorBidi" w:hAnsiTheme="majorBidi" w:cstheme="majorBidi"/>
          <w:szCs w:val="22"/>
        </w:rPr>
        <w:t>macroangiopathies</w:t>
      </w:r>
      <w:proofErr w:type="spellEnd"/>
      <w:r w:rsidR="002D2D4B" w:rsidRPr="002D2D4B">
        <w:rPr>
          <w:rFonts w:asciiTheme="majorBidi" w:hAnsiTheme="majorBidi" w:cstheme="majorBidi"/>
          <w:szCs w:val="22"/>
        </w:rPr>
        <w:t xml:space="preserve"> humaines se révèle être aussi un excellent modèle pour l’étude d’une maladie aussi souffrante et aussi lourde de conséquence qui est l'ischémie cardiaque.  </w:t>
      </w:r>
    </w:p>
    <w:p w:rsidR="00FB0D24" w:rsidRPr="002D2D4B" w:rsidRDefault="00FB0D24" w:rsidP="002D2D4B">
      <w:pPr>
        <w:rPr>
          <w:sz w:val="28"/>
        </w:rPr>
      </w:pPr>
    </w:p>
    <w:sectPr w:rsidR="00FB0D24" w:rsidRPr="002D2D4B" w:rsidSect="00FB0D2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savePreviewPicture/>
  <w:compat/>
  <w:rsids>
    <w:rsidRoot w:val="002D2D4B"/>
    <w:rsid w:val="001C3D46"/>
    <w:rsid w:val="00227C95"/>
    <w:rsid w:val="002935AF"/>
    <w:rsid w:val="002D2D4B"/>
    <w:rsid w:val="007756C1"/>
    <w:rsid w:val="00861BF5"/>
    <w:rsid w:val="009B148E"/>
    <w:rsid w:val="009C05DC"/>
    <w:rsid w:val="009F1C19"/>
    <w:rsid w:val="00A04F7C"/>
    <w:rsid w:val="00A466DF"/>
    <w:rsid w:val="00E82213"/>
    <w:rsid w:val="00FB0D2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2D4B"/>
    <w:pPr>
      <w:spacing w:after="0" w:line="360" w:lineRule="auto"/>
    </w:pPr>
    <w:rPr>
      <w:rFonts w:ascii="Times New Roman" w:eastAsia="Times New Roman" w:hAnsi="Times New Roman" w:cs="Times New Roman"/>
      <w:sz w:val="24"/>
      <w:szCs w:val="24"/>
      <w:lang w:eastAsia="fr-FR"/>
    </w:rPr>
  </w:style>
  <w:style w:type="paragraph" w:styleId="Titre1">
    <w:name w:val="heading 1"/>
    <w:basedOn w:val="Normal"/>
    <w:next w:val="Normal"/>
    <w:link w:val="Titre1Car"/>
    <w:uiPriority w:val="99"/>
    <w:qFormat/>
    <w:rsid w:val="002D2D4B"/>
    <w:pPr>
      <w:keepNext/>
      <w:spacing w:line="240" w:lineRule="auto"/>
      <w:outlineLvl w:val="0"/>
    </w:pPr>
    <w:rPr>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9"/>
    <w:rsid w:val="002D2D4B"/>
    <w:rPr>
      <w:rFonts w:ascii="Times New Roman" w:eastAsia="Times New Roman" w:hAnsi="Times New Roman" w:cs="Times New Roman"/>
      <w:sz w:val="28"/>
      <w:szCs w:val="28"/>
      <w:lang w:eastAsia="fr-FR"/>
    </w:rPr>
  </w:style>
  <w:style w:type="paragraph" w:styleId="Corpsdetexte2">
    <w:name w:val="Body Text 2"/>
    <w:basedOn w:val="Normal"/>
    <w:link w:val="Corpsdetexte2Car"/>
    <w:uiPriority w:val="99"/>
    <w:semiHidden/>
    <w:rsid w:val="002D2D4B"/>
    <w:pPr>
      <w:spacing w:after="120" w:line="480" w:lineRule="auto"/>
    </w:pPr>
    <w:rPr>
      <w:rFonts w:ascii="Calibri" w:eastAsia="Calibri" w:hAnsi="Calibri" w:cs="Calibri"/>
      <w:sz w:val="22"/>
      <w:szCs w:val="22"/>
      <w:lang w:eastAsia="en-US"/>
    </w:rPr>
  </w:style>
  <w:style w:type="character" w:customStyle="1" w:styleId="Corpsdetexte2Car">
    <w:name w:val="Corps de texte 2 Car"/>
    <w:basedOn w:val="Policepardfaut"/>
    <w:link w:val="Corpsdetexte2"/>
    <w:uiPriority w:val="99"/>
    <w:semiHidden/>
    <w:rsid w:val="002D2D4B"/>
    <w:rPr>
      <w:rFonts w:ascii="Calibri" w:eastAsia="Calibri" w:hAnsi="Calibri" w:cs="Calibr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320</Words>
  <Characters>1760</Characters>
  <Application>Microsoft Office Word</Application>
  <DocSecurity>0</DocSecurity>
  <Lines>14</Lines>
  <Paragraphs>4</Paragraphs>
  <ScaleCrop>false</ScaleCrop>
  <Company/>
  <LinksUpToDate>false</LinksUpToDate>
  <CharactersWithSpaces>2076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UT</cp:lastModifiedBy>
  <cp:revision>3</cp:revision>
  <dcterms:created xsi:type="dcterms:W3CDTF">2014-10-29T07:50:00Z</dcterms:created>
  <dcterms:modified xsi:type="dcterms:W3CDTF">2014-10-29T12:32:00Z</dcterms:modified>
</cp:coreProperties>
</file>