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C1C" w:rsidRDefault="006B3C1C" w:rsidP="006B3C1C">
      <w:pPr>
        <w:spacing w:after="0"/>
        <w:jc w:val="both"/>
        <w:rPr>
          <w:rFonts w:asciiTheme="majorBidi" w:eastAsia="Times New Roman" w:hAnsiTheme="majorBidi" w:cstheme="majorBidi"/>
          <w:color w:val="FF0000"/>
          <w:sz w:val="24"/>
          <w:szCs w:val="24"/>
        </w:rPr>
      </w:pPr>
    </w:p>
    <w:p w:rsidR="006B3C1C" w:rsidRPr="006B3C1C" w:rsidRDefault="006B3C1C" w:rsidP="006B3C1C">
      <w:pPr>
        <w:jc w:val="center"/>
        <w:rPr>
          <w:rFonts w:asciiTheme="majorBidi" w:eastAsia="Times New Roman" w:hAnsiTheme="majorBidi" w:cstheme="majorBidi"/>
          <w:b/>
          <w:bCs/>
          <w:i/>
          <w:iCs/>
          <w:color w:val="C0504D" w:themeColor="accent2"/>
          <w:sz w:val="40"/>
          <w:szCs w:val="40"/>
        </w:rPr>
      </w:pPr>
      <w:r w:rsidRPr="006B3C1C">
        <w:rPr>
          <w:rFonts w:asciiTheme="majorBidi" w:eastAsia="Times New Roman" w:hAnsiTheme="majorBidi" w:cstheme="majorBidi"/>
          <w:b/>
          <w:bCs/>
          <w:i/>
          <w:iCs/>
          <w:color w:val="C0504D" w:themeColor="accent2"/>
          <w:sz w:val="40"/>
          <w:szCs w:val="40"/>
        </w:rPr>
        <w:t>Résumé</w:t>
      </w:r>
    </w:p>
    <w:p w:rsidR="006B3C1C" w:rsidRPr="006B3C1C" w:rsidRDefault="006B3C1C" w:rsidP="006B3C1C">
      <w:pPr>
        <w:spacing w:after="0" w:line="360" w:lineRule="auto"/>
        <w:jc w:val="both"/>
        <w:rPr>
          <w:rFonts w:asciiTheme="majorBidi" w:eastAsia="Times New Roman" w:hAnsiTheme="majorBidi" w:cstheme="majorBidi"/>
          <w:sz w:val="24"/>
          <w:szCs w:val="24"/>
        </w:rPr>
      </w:pPr>
      <w:r w:rsidRPr="006B3C1C">
        <w:rPr>
          <w:rFonts w:asciiTheme="majorBidi" w:eastAsia="Times New Roman" w:hAnsiTheme="majorBidi" w:cstheme="majorBidi"/>
          <w:sz w:val="24"/>
          <w:szCs w:val="24"/>
        </w:rPr>
        <w:t>Les nanotubes de carbone (</w:t>
      </w:r>
      <w:r w:rsidRPr="006B3C1C">
        <w:rPr>
          <w:rFonts w:ascii="Bookman-Light" w:hAnsi="Bookman-Light" w:cs="Bookman-Light"/>
          <w:sz w:val="24"/>
          <w:szCs w:val="24"/>
        </w:rPr>
        <w:t>NTC)</w:t>
      </w:r>
      <w:r w:rsidRPr="006B3C1C">
        <w:rPr>
          <w:rFonts w:asciiTheme="majorBidi" w:eastAsia="Times New Roman" w:hAnsiTheme="majorBidi" w:cstheme="majorBidi"/>
          <w:sz w:val="24"/>
          <w:szCs w:val="24"/>
        </w:rPr>
        <w:t xml:space="preserve"> sont des macromolécules tubulaires. Ils ont des propriétés physiques et chimiques remarquables dont les applications envisagées sont quasiment illimitées. </w:t>
      </w:r>
      <w:r w:rsidRPr="006B3C1C">
        <w:rPr>
          <w:rFonts w:ascii="Bookman-Light" w:hAnsi="Bookman-Light" w:cs="Bookman-Light"/>
          <w:sz w:val="24"/>
          <w:szCs w:val="24"/>
        </w:rPr>
        <w:t xml:space="preserve">Les NTC ont d'excellentes propriétés mécaniques, les mesures expérimentales et les simulations numériques donnent des valeurs du module de Young très élevés qui s'étendent de 0,40 TPa à 5,5 TPa. </w:t>
      </w:r>
      <w:r w:rsidR="00851237" w:rsidRPr="006B3C1C">
        <w:rPr>
          <w:rFonts w:ascii="Bookman-Light" w:hAnsi="Bookman-Light" w:cs="Bookman-Light"/>
          <w:sz w:val="24"/>
          <w:szCs w:val="24"/>
        </w:rPr>
        <w:t>Donc</w:t>
      </w:r>
      <w:r w:rsidR="00851237">
        <w:rPr>
          <w:rFonts w:ascii="Bookman-Light" w:hAnsi="Bookman-Light" w:cs="Bookman-Light"/>
          <w:sz w:val="24"/>
          <w:szCs w:val="24"/>
        </w:rPr>
        <w:t>,</w:t>
      </w:r>
      <w:r w:rsidR="00851237" w:rsidRPr="006B3C1C">
        <w:rPr>
          <w:rFonts w:ascii="Bookman-Light" w:hAnsi="Bookman-Light" w:cs="Bookman-Light"/>
          <w:sz w:val="24"/>
          <w:szCs w:val="24"/>
        </w:rPr>
        <w:t xml:space="preserve"> </w:t>
      </w:r>
      <w:r w:rsidR="00851237">
        <w:rPr>
          <w:rFonts w:ascii="Bookman-Light" w:hAnsi="Bookman-Light" w:cs="Bookman-Light"/>
          <w:sz w:val="24"/>
          <w:szCs w:val="24"/>
        </w:rPr>
        <w:t>i</w:t>
      </w:r>
      <w:r w:rsidRPr="006B3C1C">
        <w:rPr>
          <w:rFonts w:ascii="Bookman-Light" w:hAnsi="Bookman-Light" w:cs="Bookman-Light"/>
          <w:sz w:val="24"/>
          <w:szCs w:val="24"/>
        </w:rPr>
        <w:t>l est nécessaire de s'intéresser à la détermination du la valeur exacte du module de Young.</w:t>
      </w:r>
    </w:p>
    <w:p w:rsidR="006B3C1C" w:rsidRPr="006B3C1C" w:rsidRDefault="006B3C1C" w:rsidP="006B3C1C">
      <w:pPr>
        <w:spacing w:after="0" w:line="360" w:lineRule="auto"/>
        <w:jc w:val="both"/>
        <w:rPr>
          <w:rFonts w:ascii="Times New Roman" w:eastAsiaTheme="minorHAnsi" w:hAnsi="Times New Roman" w:cs="Times New Roman"/>
          <w:sz w:val="24"/>
          <w:szCs w:val="24"/>
          <w:lang w:eastAsia="en-US"/>
        </w:rPr>
      </w:pPr>
      <w:r w:rsidRPr="006B3C1C">
        <w:rPr>
          <w:rFonts w:ascii="Times New Roman" w:eastAsia="Times New Roman" w:hAnsi="Times New Roman" w:cs="Times New Roman"/>
          <w:sz w:val="24"/>
          <w:szCs w:val="24"/>
        </w:rPr>
        <w:t>Dans</w:t>
      </w:r>
      <w:r w:rsidR="004C5966">
        <w:rPr>
          <w:rFonts w:ascii="Times New Roman" w:eastAsia="Times New Roman" w:hAnsi="Times New Roman" w:cs="Times New Roman"/>
          <w:sz w:val="24"/>
          <w:szCs w:val="24"/>
        </w:rPr>
        <w:t xml:space="preserve"> ce travail, Nous avons utilisé</w:t>
      </w:r>
      <w:r w:rsidRPr="006B3C1C">
        <w:rPr>
          <w:rFonts w:ascii="Times New Roman" w:eastAsia="Times New Roman" w:hAnsi="Times New Roman" w:cs="Times New Roman"/>
          <w:sz w:val="24"/>
          <w:szCs w:val="24"/>
        </w:rPr>
        <w:t xml:space="preserve"> la simulation par éléments finis pour modéliser et caractériser numériquement des matériaux nanostructurés à base de carbone</w:t>
      </w:r>
      <w:r w:rsidRPr="006B3C1C">
        <w:rPr>
          <w:rFonts w:ascii="Bookman Old Style" w:hAnsi="Bookman Old Style" w:cs="Bookman Old Style"/>
          <w:spacing w:val="2"/>
        </w:rPr>
        <w:t xml:space="preserve">. </w:t>
      </w:r>
      <w:r w:rsidR="00851237">
        <w:rPr>
          <w:rFonts w:ascii="Bookman-Light" w:hAnsi="Bookman-Light" w:cs="Bookman-Light"/>
          <w:sz w:val="24"/>
          <w:szCs w:val="24"/>
        </w:rPr>
        <w:t>Cette</w:t>
      </w:r>
      <w:r w:rsidRPr="006B3C1C">
        <w:rPr>
          <w:rFonts w:ascii="Bookman-Light" w:hAnsi="Bookman-Light" w:cs="Bookman-Light"/>
          <w:sz w:val="24"/>
          <w:szCs w:val="24"/>
        </w:rPr>
        <w:t xml:space="preserve"> simulation est basée sur la méthode d’équivalence d’énergie qui permit d’</w:t>
      </w:r>
      <w:r w:rsidR="004C5966">
        <w:rPr>
          <w:rFonts w:ascii="Times New Roman" w:hAnsi="Times New Roman" w:cs="Times New Roman"/>
          <w:sz w:val="24"/>
          <w:szCs w:val="24"/>
        </w:rPr>
        <w:t>effectuer</w:t>
      </w:r>
      <w:r w:rsidRPr="006B3C1C">
        <w:rPr>
          <w:rFonts w:ascii="Bookman-Light" w:hAnsi="Bookman-Light" w:cs="Bookman-Light"/>
          <w:sz w:val="24"/>
          <w:szCs w:val="24"/>
        </w:rPr>
        <w:t xml:space="preserve"> </w:t>
      </w:r>
      <w:r w:rsidRPr="006B3C1C">
        <w:rPr>
          <w:rFonts w:ascii="Times New Roman" w:hAnsi="Times New Roman" w:cs="Times New Roman"/>
          <w:sz w:val="24"/>
          <w:szCs w:val="24"/>
        </w:rPr>
        <w:t xml:space="preserve">un passage de modèle énergétique (mécanique quantique) au modèle de la mécanique de structures. </w:t>
      </w:r>
    </w:p>
    <w:p w:rsidR="006B3C1C" w:rsidRPr="006B3C1C" w:rsidRDefault="006B3C1C" w:rsidP="006B3C1C">
      <w:pPr>
        <w:autoSpaceDE w:val="0"/>
        <w:autoSpaceDN w:val="0"/>
        <w:adjustRightInd w:val="0"/>
        <w:spacing w:after="0" w:line="360" w:lineRule="auto"/>
        <w:jc w:val="both"/>
        <w:rPr>
          <w:rFonts w:ascii="Times New Roman" w:hAnsi="Times New Roman" w:cs="Times New Roman"/>
          <w:sz w:val="24"/>
          <w:szCs w:val="24"/>
        </w:rPr>
      </w:pPr>
      <w:r w:rsidRPr="006B3C1C">
        <w:rPr>
          <w:rFonts w:ascii="Times New Roman" w:eastAsia="Times New Roman" w:hAnsi="Times New Roman" w:cs="Times New Roman"/>
          <w:sz w:val="24"/>
          <w:szCs w:val="24"/>
        </w:rPr>
        <w:t>Les nanotubes de carbone ont été modélisés à l’échelle nanométrique par des éléments unidimensionnels (poutre 3D). Les résultats obtenus montrent une influence considérable de paramètres structuraux (diamètre, chiralité et épaisseur de paroi) sur la rigidité du NTC.</w:t>
      </w:r>
      <w:r w:rsidRPr="006B3C1C">
        <w:rPr>
          <w:rFonts w:ascii="Times New Roman" w:hAnsi="Times New Roman" w:cs="Times New Roman"/>
          <w:sz w:val="24"/>
          <w:szCs w:val="24"/>
        </w:rPr>
        <w:t xml:space="preserve"> </w:t>
      </w:r>
    </w:p>
    <w:p w:rsidR="006B3C1C" w:rsidRPr="006B3C1C" w:rsidRDefault="007B1CCD" w:rsidP="006B3C1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Nous avons aussi réalisé</w:t>
      </w:r>
      <w:r w:rsidR="006B3C1C" w:rsidRPr="006B3C1C">
        <w:rPr>
          <w:rFonts w:ascii="Times New Roman" w:hAnsi="Times New Roman" w:cs="Times New Roman"/>
          <w:sz w:val="24"/>
          <w:szCs w:val="24"/>
        </w:rPr>
        <w:t xml:space="preserve"> une étude comparative entre le plan de graphite et le nanotube. Cette étude est réalisée dans le but de confirmer l’effet de courbure sur le module de Young et valider les résultats trouvés.</w:t>
      </w:r>
    </w:p>
    <w:p w:rsidR="006B3C1C" w:rsidRPr="006B3C1C" w:rsidRDefault="006B3C1C" w:rsidP="00C4033B">
      <w:pPr>
        <w:spacing w:after="0" w:line="360" w:lineRule="auto"/>
        <w:jc w:val="both"/>
        <w:rPr>
          <w:rFonts w:ascii="Times New Roman" w:hAnsi="Times New Roman" w:cs="Times New Roman"/>
          <w:sz w:val="24"/>
          <w:szCs w:val="24"/>
        </w:rPr>
      </w:pPr>
      <w:r w:rsidRPr="006B3C1C">
        <w:rPr>
          <w:rFonts w:asciiTheme="majorBidi" w:hAnsiTheme="majorBidi" w:cstheme="majorBidi"/>
          <w:sz w:val="24"/>
          <w:szCs w:val="24"/>
        </w:rPr>
        <w:t xml:space="preserve">En outre, </w:t>
      </w:r>
      <w:r w:rsidRPr="006B3C1C">
        <w:rPr>
          <w:rFonts w:ascii="Times New Roman" w:eastAsia="Times New Roman" w:hAnsi="Times New Roman" w:cs="Times New Roman"/>
          <w:sz w:val="24"/>
          <w:szCs w:val="24"/>
        </w:rPr>
        <w:t xml:space="preserve">on a aussi examiné </w:t>
      </w:r>
      <w:r w:rsidRPr="006B3C1C">
        <w:rPr>
          <w:rFonts w:ascii="Times New Roman" w:hAnsi="Times New Roman" w:cs="Times New Roman"/>
          <w:sz w:val="24"/>
          <w:szCs w:val="24"/>
        </w:rPr>
        <w:t>numériquement l’effet de présence de défaut sur le module d’élasticité.</w:t>
      </w:r>
      <w:r w:rsidRPr="006B3C1C">
        <w:rPr>
          <w:rFonts w:ascii="Times New Roman" w:eastAsia="Times New Roman" w:hAnsi="Times New Roman" w:cs="Times New Roman"/>
          <w:sz w:val="24"/>
          <w:szCs w:val="24"/>
        </w:rPr>
        <w:t xml:space="preserve"> </w:t>
      </w:r>
      <w:r w:rsidRPr="006B3C1C">
        <w:rPr>
          <w:rFonts w:ascii="Times New Roman" w:hAnsi="Times New Roman" w:cs="Times New Roman"/>
          <w:sz w:val="24"/>
          <w:szCs w:val="24"/>
        </w:rPr>
        <w:t xml:space="preserve">Le défaut Stone Wales (5-7-7-5) </w:t>
      </w:r>
      <w:r w:rsidRPr="006B3C1C">
        <w:rPr>
          <w:rFonts w:ascii="Times New Roman" w:eastAsia="Times New Roman" w:hAnsi="Times New Roman" w:cs="Times New Roman"/>
          <w:sz w:val="24"/>
          <w:szCs w:val="24"/>
        </w:rPr>
        <w:t xml:space="preserve">est choisi </w:t>
      </w:r>
      <w:r w:rsidRPr="006B3C1C">
        <w:rPr>
          <w:rFonts w:ascii="Times New Roman" w:hAnsi="Times New Roman" w:cs="Times New Roman"/>
          <w:sz w:val="24"/>
          <w:szCs w:val="24"/>
        </w:rPr>
        <w:t xml:space="preserve">pour illustrer cet effet. </w:t>
      </w:r>
    </w:p>
    <w:p w:rsidR="006B3C1C" w:rsidRDefault="006B3C1C" w:rsidP="00C4033B">
      <w:pPr>
        <w:spacing w:after="0" w:line="360" w:lineRule="auto"/>
        <w:jc w:val="both"/>
        <w:rPr>
          <w:rFonts w:ascii="Times New Roman" w:hAnsi="Times New Roman" w:cs="Times New Roman"/>
          <w:sz w:val="24"/>
          <w:szCs w:val="24"/>
        </w:rPr>
      </w:pPr>
      <w:r w:rsidRPr="006B3C1C">
        <w:rPr>
          <w:rFonts w:ascii="Times New Roman" w:hAnsi="Times New Roman" w:cs="Times New Roman"/>
          <w:sz w:val="24"/>
          <w:szCs w:val="24"/>
        </w:rPr>
        <w:t>En premier lieu, les essais sont réa</w:t>
      </w:r>
      <w:r w:rsidR="007B1CCD">
        <w:rPr>
          <w:rFonts w:ascii="Times New Roman" w:hAnsi="Times New Roman" w:cs="Times New Roman"/>
          <w:sz w:val="24"/>
          <w:szCs w:val="24"/>
        </w:rPr>
        <w:t>lisés sur des nanotubes contenant</w:t>
      </w:r>
      <w:r w:rsidRPr="006B3C1C">
        <w:rPr>
          <w:rFonts w:ascii="Times New Roman" w:hAnsi="Times New Roman" w:cs="Times New Roman"/>
          <w:sz w:val="24"/>
          <w:szCs w:val="24"/>
        </w:rPr>
        <w:t xml:space="preserve"> de</w:t>
      </w:r>
      <w:r w:rsidR="007B1CCD">
        <w:rPr>
          <w:rFonts w:ascii="Times New Roman" w:hAnsi="Times New Roman" w:cs="Times New Roman"/>
          <w:sz w:val="24"/>
          <w:szCs w:val="24"/>
        </w:rPr>
        <w:t>s</w:t>
      </w:r>
      <w:r w:rsidRPr="006B3C1C">
        <w:rPr>
          <w:rFonts w:ascii="Times New Roman" w:hAnsi="Times New Roman" w:cs="Times New Roman"/>
          <w:sz w:val="24"/>
          <w:szCs w:val="24"/>
        </w:rPr>
        <w:t xml:space="preserve"> défauts de Stone Wales. Dans un second temps, on a examiné l’effet de défaut sur les plans graph</w:t>
      </w:r>
      <w:bookmarkStart w:id="0" w:name="_GoBack"/>
      <w:bookmarkEnd w:id="0"/>
      <w:r w:rsidRPr="006B3C1C">
        <w:rPr>
          <w:rFonts w:ascii="Times New Roman" w:hAnsi="Times New Roman" w:cs="Times New Roman"/>
          <w:sz w:val="24"/>
          <w:szCs w:val="24"/>
        </w:rPr>
        <w:t>ène. La comparaison de ces modèles avec les modèles parfaits a abouti à des résultats très importants.</w:t>
      </w: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D074D" w:rsidP="00D71BDB">
      <w:pPr>
        <w:spacing w:after="0" w:line="360" w:lineRule="auto"/>
        <w:jc w:val="both"/>
        <w:rPr>
          <w:rFonts w:ascii="Times New Roman" w:hAnsi="Times New Roman" w:cs="Times New Roman"/>
          <w:sz w:val="24"/>
          <w:szCs w:val="24"/>
        </w:rPr>
      </w:pPr>
      <w:r w:rsidRPr="00CD074D">
        <w:rPr>
          <w:rFonts w:ascii="Times New Roman" w:hAnsi="Times New Roman" w:cs="Times New Roman"/>
          <w:sz w:val="24"/>
          <w:szCs w:val="24"/>
          <w:u w:val="single"/>
        </w:rPr>
        <w:t>Mots clés</w:t>
      </w:r>
      <w:r w:rsidRPr="00CD074D">
        <w:rPr>
          <w:rFonts w:ascii="Times New Roman" w:hAnsi="Times New Roman" w:cs="Times New Roman"/>
          <w:sz w:val="24"/>
          <w:szCs w:val="24"/>
        </w:rPr>
        <w:t xml:space="preserve"> : </w:t>
      </w:r>
      <w:r w:rsidR="00D71BDB">
        <w:rPr>
          <w:rFonts w:ascii="Times New Roman" w:hAnsi="Times New Roman" w:cs="Times New Roman"/>
          <w:sz w:val="24"/>
          <w:szCs w:val="24"/>
        </w:rPr>
        <w:t>Nanotube de carbone</w:t>
      </w:r>
      <w:r w:rsidR="00D71BDB" w:rsidRPr="00CD074D">
        <w:rPr>
          <w:rFonts w:ascii="Times New Roman" w:hAnsi="Times New Roman" w:cs="Times New Roman"/>
          <w:sz w:val="24"/>
          <w:szCs w:val="24"/>
        </w:rPr>
        <w:t xml:space="preserve">, </w:t>
      </w:r>
      <w:r w:rsidR="00D71BDB">
        <w:rPr>
          <w:rFonts w:ascii="Times New Roman" w:hAnsi="Times New Roman" w:cs="Times New Roman"/>
          <w:sz w:val="24"/>
          <w:szCs w:val="24"/>
        </w:rPr>
        <w:t>Graphène, Plan graphite,</w:t>
      </w:r>
      <w:r w:rsidR="00D71BDB" w:rsidRPr="00CD074D">
        <w:rPr>
          <w:rFonts w:ascii="Times New Roman" w:hAnsi="Times New Roman" w:cs="Times New Roman"/>
          <w:sz w:val="24"/>
          <w:szCs w:val="24"/>
        </w:rPr>
        <w:t xml:space="preserve"> </w:t>
      </w:r>
      <w:r w:rsidRPr="00CD074D">
        <w:rPr>
          <w:rFonts w:ascii="Times New Roman" w:hAnsi="Times New Roman" w:cs="Times New Roman"/>
          <w:sz w:val="24"/>
          <w:szCs w:val="24"/>
        </w:rPr>
        <w:t>Eléments finis, Modélisation 3D,</w:t>
      </w:r>
      <w:r>
        <w:rPr>
          <w:rFonts w:ascii="Times New Roman" w:hAnsi="Times New Roman" w:cs="Times New Roman"/>
          <w:sz w:val="24"/>
          <w:szCs w:val="24"/>
        </w:rPr>
        <w:t xml:space="preserve"> Méthode d’équivalence d’énergie</w:t>
      </w:r>
      <w:r w:rsidRPr="00CD074D">
        <w:rPr>
          <w:rFonts w:ascii="Times New Roman" w:hAnsi="Times New Roman" w:cs="Times New Roman"/>
          <w:sz w:val="24"/>
          <w:szCs w:val="24"/>
        </w:rPr>
        <w:t xml:space="preserve">, </w:t>
      </w:r>
      <w:r>
        <w:rPr>
          <w:rFonts w:ascii="Times New Roman" w:hAnsi="Times New Roman" w:cs="Times New Roman"/>
          <w:sz w:val="24"/>
          <w:szCs w:val="24"/>
        </w:rPr>
        <w:t>D</w:t>
      </w:r>
      <w:r w:rsidRPr="006B3C1C">
        <w:rPr>
          <w:rFonts w:ascii="Times New Roman" w:hAnsi="Times New Roman" w:cs="Times New Roman"/>
          <w:sz w:val="24"/>
          <w:szCs w:val="24"/>
        </w:rPr>
        <w:t>éfaut Stone Wales</w:t>
      </w:r>
      <w:r>
        <w:rPr>
          <w:rFonts w:ascii="Times New Roman" w:hAnsi="Times New Roman" w:cs="Times New Roman"/>
          <w:sz w:val="24"/>
          <w:szCs w:val="24"/>
        </w:rPr>
        <w:t>,</w:t>
      </w:r>
      <w:r w:rsidRPr="006B3C1C">
        <w:rPr>
          <w:rFonts w:ascii="Times New Roman" w:hAnsi="Times New Roman" w:cs="Times New Roman"/>
          <w:sz w:val="24"/>
          <w:szCs w:val="24"/>
        </w:rPr>
        <w:t xml:space="preserve"> </w:t>
      </w:r>
      <w:r>
        <w:rPr>
          <w:rFonts w:ascii="Times New Roman" w:hAnsi="Times New Roman" w:cs="Times New Roman"/>
          <w:sz w:val="24"/>
          <w:szCs w:val="24"/>
        </w:rPr>
        <w:t>D</w:t>
      </w:r>
      <w:r w:rsidRPr="006B3C1C">
        <w:rPr>
          <w:rFonts w:ascii="Times New Roman" w:hAnsi="Times New Roman" w:cs="Times New Roman"/>
          <w:sz w:val="24"/>
          <w:szCs w:val="24"/>
        </w:rPr>
        <w:t>éfaut (5-7-7-5)</w:t>
      </w:r>
      <w:r w:rsidRPr="00CD074D">
        <w:rPr>
          <w:rFonts w:ascii="Times New Roman" w:hAnsi="Times New Roman" w:cs="Times New Roman"/>
          <w:sz w:val="24"/>
          <w:szCs w:val="24"/>
        </w:rPr>
        <w:t>.</w:t>
      </w: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jc w:val="both"/>
        <w:rPr>
          <w:rFonts w:ascii="Times New Roman" w:hAnsi="Times New Roman" w:cs="Times New Roman"/>
          <w:sz w:val="24"/>
          <w:szCs w:val="24"/>
        </w:rPr>
      </w:pPr>
    </w:p>
    <w:p w:rsidR="00C4033B" w:rsidRDefault="00C4033B" w:rsidP="00C4033B">
      <w:pPr>
        <w:spacing w:after="0" w:line="360" w:lineRule="auto"/>
        <w:rPr>
          <w:rFonts w:ascii="Monotype Corsiva" w:hAnsi="Monotype Corsiva" w:cs="ParisBold"/>
          <w:bCs/>
          <w:sz w:val="28"/>
          <w:szCs w:val="28"/>
        </w:rPr>
      </w:pPr>
    </w:p>
    <w:sectPr w:rsidR="00C4033B" w:rsidSect="00851237">
      <w:headerReference w:type="default" r:id="rId9"/>
      <w:footerReference w:type="default" r:id="rId10"/>
      <w:pgSz w:w="11906" w:h="16838"/>
      <w:pgMar w:top="1418" w:right="849" w:bottom="851" w:left="1134" w:header="567" w:footer="170"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01B0" w:rsidRDefault="002D01B0" w:rsidP="00B65DFE">
      <w:pPr>
        <w:spacing w:after="0" w:line="240" w:lineRule="auto"/>
      </w:pPr>
      <w:r>
        <w:separator/>
      </w:r>
    </w:p>
  </w:endnote>
  <w:endnote w:type="continuationSeparator" w:id="0">
    <w:p w:rsidR="002D01B0" w:rsidRDefault="002D01B0" w:rsidP="00B65D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ookman-Light">
    <w:panose1 w:val="00000000000000000000"/>
    <w:charset w:val="00"/>
    <w:family w:val="roman"/>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Paris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Listeclaire-Accent2"/>
      <w:tblW w:w="6166" w:type="pct"/>
      <w:tblInd w:w="-1448" w:type="dxa"/>
      <w:tblLook w:val="04A0" w:firstRow="1" w:lastRow="0" w:firstColumn="1" w:lastColumn="0" w:noHBand="0" w:noVBand="1"/>
    </w:tblPr>
    <w:tblGrid>
      <w:gridCol w:w="8682"/>
      <w:gridCol w:w="3821"/>
    </w:tblGrid>
    <w:tr w:rsidR="006C5F47" w:rsidTr="00AB1EBE">
      <w:trPr>
        <w:cnfStyle w:val="100000000000" w:firstRow="1" w:lastRow="0" w:firstColumn="0" w:lastColumn="0" w:oddVBand="0" w:evenVBand="0" w:oddHBand="0" w:evenHBand="0" w:firstRowFirstColumn="0" w:firstRowLastColumn="0" w:lastRowFirstColumn="0" w:lastRowLastColumn="0"/>
        <w:trHeight w:val="92"/>
      </w:trPr>
      <w:tc>
        <w:tcPr>
          <w:cnfStyle w:val="001000000000" w:firstRow="0" w:lastRow="0" w:firstColumn="1" w:lastColumn="0" w:oddVBand="0" w:evenVBand="0" w:oddHBand="0" w:evenHBand="0" w:firstRowFirstColumn="0" w:firstRowLastColumn="0" w:lastRowFirstColumn="0" w:lastRowLastColumn="0"/>
          <w:tcW w:w="3472" w:type="pct"/>
        </w:tcPr>
        <w:p w:rsidR="006C5F47" w:rsidRDefault="006C5F47">
          <w:pPr>
            <w:pStyle w:val="Pieddepage"/>
            <w:jc w:val="right"/>
          </w:pPr>
        </w:p>
      </w:tc>
      <w:tc>
        <w:tcPr>
          <w:tcW w:w="1528" w:type="pct"/>
        </w:tcPr>
        <w:p w:rsidR="006C5F47" w:rsidRPr="00867475" w:rsidRDefault="006C5F47">
          <w:pPr>
            <w:pStyle w:val="Pieddepage"/>
            <w:jc w:val="right"/>
            <w:cnfStyle w:val="100000000000" w:firstRow="1" w:lastRow="0" w:firstColumn="0" w:lastColumn="0" w:oddVBand="0" w:evenVBand="0" w:oddHBand="0" w:evenHBand="0" w:firstRowFirstColumn="0" w:firstRowLastColumn="0" w:lastRowFirstColumn="0" w:lastRowLastColumn="0"/>
            <w:rPr>
              <w:spacing w:val="220"/>
            </w:rPr>
          </w:pPr>
        </w:p>
      </w:tc>
    </w:tr>
  </w:tbl>
  <w:p w:rsidR="00B65DFE" w:rsidRDefault="00B65DFE">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01B0" w:rsidRDefault="002D01B0" w:rsidP="00B65DFE">
      <w:pPr>
        <w:spacing w:after="0" w:line="240" w:lineRule="auto"/>
      </w:pPr>
      <w:r>
        <w:separator/>
      </w:r>
    </w:p>
  </w:footnote>
  <w:footnote w:type="continuationSeparator" w:id="0">
    <w:p w:rsidR="002D01B0" w:rsidRDefault="002D01B0" w:rsidP="00B65D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65DFE" w:rsidRDefault="00867475">
    <w:pPr>
      <w:pStyle w:val="En-tte"/>
    </w:pPr>
    <w:r w:rsidRPr="00B65DFE">
      <w:rPr>
        <w:noProof/>
      </w:rPr>
      <w:drawing>
        <wp:anchor distT="0" distB="0" distL="114300" distR="114300" simplePos="0" relativeHeight="251662336" behindDoc="0" locked="0" layoutInCell="1" allowOverlap="1" wp14:anchorId="6CACE46E" wp14:editId="3FC43CE8">
          <wp:simplePos x="0" y="0"/>
          <wp:positionH relativeFrom="margin">
            <wp:posOffset>288925</wp:posOffset>
          </wp:positionH>
          <wp:positionV relativeFrom="page">
            <wp:posOffset>277495</wp:posOffset>
          </wp:positionV>
          <wp:extent cx="6415405" cy="380365"/>
          <wp:effectExtent l="0" t="38100" r="61595" b="114935"/>
          <wp:wrapNone/>
          <wp:docPr id="6" name="Diagramme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anchor>
      </w:drawing>
    </w:r>
    <w:r w:rsidR="002D01B0">
      <w:rPr>
        <w:noProof/>
      </w:rPr>
      <w:pict>
        <v:shapetype id="_x0000_t32" coordsize="21600,21600" o:spt="32" o:oned="t" path="m,l21600,21600e" filled="f">
          <v:path arrowok="t" fillok="f" o:connecttype="none"/>
          <o:lock v:ext="edit" shapetype="t"/>
        </v:shapetype>
        <v:shape id="_x0000_s2049" type="#_x0000_t32" style="position:absolute;margin-left:-70.95pt;margin-top:9.8pt;width:153.05pt;height:.05pt;flip:x;z-index:251660288;mso-position-horizontal-relative:text;mso-position-vertical-relative:text" o:connectortype="straight" strokecolor="#943634 [2405]"/>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524023"/>
    <w:multiLevelType w:val="hybridMultilevel"/>
    <w:tmpl w:val="2A2C33AE"/>
    <w:lvl w:ilvl="0" w:tplc="DB9EC51A">
      <w:start w:val="1"/>
      <w:numFmt w:val="bullet"/>
      <w:lvlText w:val=""/>
      <w:lvlJc w:val="left"/>
      <w:pPr>
        <w:ind w:left="720" w:hanging="360"/>
      </w:pPr>
      <w:rPr>
        <w:rFonts w:ascii="Symbol" w:hAnsi="Symbol" w:hint="default"/>
        <w:color w:val="E36C0A" w:themeColor="accent6" w:themeShade="BF"/>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50"/>
    <o:shapelayout v:ext="edit">
      <o:idmap v:ext="edit" data="2"/>
      <o:rules v:ext="edit">
        <o:r id="V:Rule1" type="connector" idref="#_x0000_s2049"/>
      </o:rules>
    </o:shapelayout>
  </w:hdrShapeDefaults>
  <w:footnotePr>
    <w:footnote w:id="-1"/>
    <w:footnote w:id="0"/>
  </w:footnotePr>
  <w:endnotePr>
    <w:endnote w:id="-1"/>
    <w:endnote w:id="0"/>
  </w:endnotePr>
  <w:compat>
    <w:compatSetting w:name="compatibilityMode" w:uri="http://schemas.microsoft.com/office/word" w:val="12"/>
  </w:compat>
  <w:rsids>
    <w:rsidRoot w:val="00C85E94"/>
    <w:rsid w:val="0000624D"/>
    <w:rsid w:val="00026CB7"/>
    <w:rsid w:val="00076166"/>
    <w:rsid w:val="000B57B3"/>
    <w:rsid w:val="000E014A"/>
    <w:rsid w:val="001D1E0A"/>
    <w:rsid w:val="00270415"/>
    <w:rsid w:val="002D01B0"/>
    <w:rsid w:val="00331C5D"/>
    <w:rsid w:val="00333BFD"/>
    <w:rsid w:val="00363A0C"/>
    <w:rsid w:val="0037549A"/>
    <w:rsid w:val="003B4ECC"/>
    <w:rsid w:val="003B7241"/>
    <w:rsid w:val="003C3222"/>
    <w:rsid w:val="003E583E"/>
    <w:rsid w:val="00402F85"/>
    <w:rsid w:val="00410ABE"/>
    <w:rsid w:val="00486FCA"/>
    <w:rsid w:val="0049516F"/>
    <w:rsid w:val="004C5966"/>
    <w:rsid w:val="004C6BEA"/>
    <w:rsid w:val="004E45FA"/>
    <w:rsid w:val="0051356C"/>
    <w:rsid w:val="005309F6"/>
    <w:rsid w:val="00531259"/>
    <w:rsid w:val="00535EE3"/>
    <w:rsid w:val="00536D19"/>
    <w:rsid w:val="0055387D"/>
    <w:rsid w:val="005831B5"/>
    <w:rsid w:val="005865A7"/>
    <w:rsid w:val="005A555A"/>
    <w:rsid w:val="0060381F"/>
    <w:rsid w:val="006135E9"/>
    <w:rsid w:val="00656499"/>
    <w:rsid w:val="006857A4"/>
    <w:rsid w:val="006975BA"/>
    <w:rsid w:val="006A31E2"/>
    <w:rsid w:val="006B3C1C"/>
    <w:rsid w:val="006C5F47"/>
    <w:rsid w:val="00701203"/>
    <w:rsid w:val="00727B4A"/>
    <w:rsid w:val="00735574"/>
    <w:rsid w:val="007A6E4D"/>
    <w:rsid w:val="007B1CCD"/>
    <w:rsid w:val="007E1845"/>
    <w:rsid w:val="008230F0"/>
    <w:rsid w:val="00833F74"/>
    <w:rsid w:val="00851237"/>
    <w:rsid w:val="00867475"/>
    <w:rsid w:val="00874430"/>
    <w:rsid w:val="00941636"/>
    <w:rsid w:val="009447AE"/>
    <w:rsid w:val="00952122"/>
    <w:rsid w:val="009B5361"/>
    <w:rsid w:val="009B6BCC"/>
    <w:rsid w:val="00A178AD"/>
    <w:rsid w:val="00A27BCF"/>
    <w:rsid w:val="00A718CD"/>
    <w:rsid w:val="00A81F89"/>
    <w:rsid w:val="00A91153"/>
    <w:rsid w:val="00A93CF2"/>
    <w:rsid w:val="00AA7745"/>
    <w:rsid w:val="00AA78CF"/>
    <w:rsid w:val="00AB1EBE"/>
    <w:rsid w:val="00AD1F6B"/>
    <w:rsid w:val="00AF437A"/>
    <w:rsid w:val="00B0443D"/>
    <w:rsid w:val="00B22927"/>
    <w:rsid w:val="00B24176"/>
    <w:rsid w:val="00B65DFE"/>
    <w:rsid w:val="00B97220"/>
    <w:rsid w:val="00BD4406"/>
    <w:rsid w:val="00BD7330"/>
    <w:rsid w:val="00C0101C"/>
    <w:rsid w:val="00C36BE4"/>
    <w:rsid w:val="00C4033B"/>
    <w:rsid w:val="00C62554"/>
    <w:rsid w:val="00C85E94"/>
    <w:rsid w:val="00C94386"/>
    <w:rsid w:val="00C97BC3"/>
    <w:rsid w:val="00CA38E2"/>
    <w:rsid w:val="00CB3211"/>
    <w:rsid w:val="00CD074D"/>
    <w:rsid w:val="00CD49C8"/>
    <w:rsid w:val="00CF1743"/>
    <w:rsid w:val="00D5375E"/>
    <w:rsid w:val="00D71BDB"/>
    <w:rsid w:val="00D776B3"/>
    <w:rsid w:val="00DA34D5"/>
    <w:rsid w:val="00E1299F"/>
    <w:rsid w:val="00E152C0"/>
    <w:rsid w:val="00E4671D"/>
    <w:rsid w:val="00EA2E41"/>
    <w:rsid w:val="00ED4FC1"/>
    <w:rsid w:val="00EE4A43"/>
    <w:rsid w:val="00EE7042"/>
    <w:rsid w:val="00EF7917"/>
    <w:rsid w:val="00F263D6"/>
    <w:rsid w:val="00F6391E"/>
    <w:rsid w:val="00F6589B"/>
    <w:rsid w:val="00FC411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516F"/>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hamza">
    <w:name w:val="Style1 hamza"/>
    <w:basedOn w:val="Normal"/>
    <w:link w:val="Style1hamzaCar"/>
    <w:rsid w:val="00A27BCF"/>
    <w:pPr>
      <w:tabs>
        <w:tab w:val="left" w:pos="1560"/>
        <w:tab w:val="left" w:pos="2552"/>
      </w:tabs>
    </w:pPr>
  </w:style>
  <w:style w:type="character" w:customStyle="1" w:styleId="Style1hamzaCar">
    <w:name w:val="Style1 hamza Car"/>
    <w:basedOn w:val="Policepardfaut"/>
    <w:link w:val="Style1hamza"/>
    <w:rsid w:val="00A27BCF"/>
  </w:style>
  <w:style w:type="paragraph" w:customStyle="1" w:styleId="Normal1">
    <w:name w:val="Normal1"/>
    <w:basedOn w:val="Normal"/>
    <w:link w:val="normalCar"/>
    <w:qFormat/>
    <w:rsid w:val="00656499"/>
    <w:rPr>
      <w:rFonts w:ascii="Times New Roman" w:hAnsi="Times New Roman" w:cs="Times New Roman"/>
      <w:sz w:val="24"/>
      <w:szCs w:val="24"/>
    </w:rPr>
  </w:style>
  <w:style w:type="character" w:customStyle="1" w:styleId="normalCar">
    <w:name w:val="normal Car"/>
    <w:basedOn w:val="Policepardfaut"/>
    <w:link w:val="Normal1"/>
    <w:rsid w:val="00656499"/>
    <w:rPr>
      <w:rFonts w:ascii="Times New Roman" w:hAnsi="Times New Roman" w:cs="Times New Roman"/>
      <w:sz w:val="24"/>
      <w:szCs w:val="24"/>
    </w:rPr>
  </w:style>
  <w:style w:type="paragraph" w:customStyle="1" w:styleId="Style1">
    <w:name w:val="Style1"/>
    <w:basedOn w:val="Normal1"/>
    <w:link w:val="Style1Car"/>
    <w:qFormat/>
    <w:rsid w:val="00656499"/>
  </w:style>
  <w:style w:type="character" w:customStyle="1" w:styleId="Style1Car">
    <w:name w:val="Style1 Car"/>
    <w:basedOn w:val="normalCar"/>
    <w:link w:val="Style1"/>
    <w:rsid w:val="00656499"/>
    <w:rPr>
      <w:rFonts w:ascii="Times New Roman" w:hAnsi="Times New Roman" w:cs="Times New Roman"/>
      <w:sz w:val="24"/>
      <w:szCs w:val="24"/>
    </w:rPr>
  </w:style>
  <w:style w:type="paragraph" w:styleId="Paragraphedeliste">
    <w:name w:val="List Paragraph"/>
    <w:basedOn w:val="Normal"/>
    <w:uiPriority w:val="34"/>
    <w:qFormat/>
    <w:rsid w:val="0049516F"/>
    <w:pPr>
      <w:spacing w:after="0" w:line="324" w:lineRule="auto"/>
      <w:ind w:left="720" w:right="28"/>
      <w:contextualSpacing/>
      <w:jc w:val="both"/>
    </w:pPr>
  </w:style>
  <w:style w:type="paragraph" w:styleId="En-tte">
    <w:name w:val="header"/>
    <w:basedOn w:val="Normal"/>
    <w:link w:val="En-tteCar"/>
    <w:uiPriority w:val="99"/>
    <w:unhideWhenUsed/>
    <w:rsid w:val="00B65DFE"/>
    <w:pPr>
      <w:tabs>
        <w:tab w:val="center" w:pos="4513"/>
        <w:tab w:val="right" w:pos="9026"/>
      </w:tabs>
      <w:spacing w:after="0" w:line="240" w:lineRule="auto"/>
    </w:pPr>
  </w:style>
  <w:style w:type="character" w:customStyle="1" w:styleId="En-tteCar">
    <w:name w:val="En-tête Car"/>
    <w:basedOn w:val="Policepardfaut"/>
    <w:link w:val="En-tte"/>
    <w:uiPriority w:val="99"/>
    <w:rsid w:val="00B65DFE"/>
    <w:rPr>
      <w:rFonts w:eastAsiaTheme="minorEastAsia"/>
      <w:lang w:eastAsia="fr-FR"/>
    </w:rPr>
  </w:style>
  <w:style w:type="paragraph" w:styleId="Pieddepage">
    <w:name w:val="footer"/>
    <w:basedOn w:val="Normal"/>
    <w:link w:val="PieddepageCar"/>
    <w:uiPriority w:val="99"/>
    <w:unhideWhenUsed/>
    <w:rsid w:val="00B65DFE"/>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B65DFE"/>
    <w:rPr>
      <w:rFonts w:eastAsiaTheme="minorEastAsia"/>
      <w:lang w:eastAsia="fr-FR"/>
    </w:rPr>
  </w:style>
  <w:style w:type="paragraph" w:styleId="Textedebulles">
    <w:name w:val="Balloon Text"/>
    <w:basedOn w:val="Normal"/>
    <w:link w:val="TextedebullesCar"/>
    <w:uiPriority w:val="99"/>
    <w:semiHidden/>
    <w:unhideWhenUsed/>
    <w:rsid w:val="006C5F4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C5F47"/>
    <w:rPr>
      <w:rFonts w:ascii="Tahoma" w:eastAsiaTheme="minorEastAsia" w:hAnsi="Tahoma" w:cs="Tahoma"/>
      <w:sz w:val="16"/>
      <w:szCs w:val="16"/>
      <w:lang w:eastAsia="fr-FR"/>
    </w:rPr>
  </w:style>
  <w:style w:type="table" w:styleId="Listeclaire-Accent2">
    <w:name w:val="Light List Accent 2"/>
    <w:basedOn w:val="TableauNormal"/>
    <w:uiPriority w:val="61"/>
    <w:rsid w:val="00270415"/>
    <w:pPr>
      <w:spacing w:after="0" w:line="240" w:lineRule="auto"/>
    </w:pPr>
    <w:tblPr>
      <w:tblStyleRowBandSize w:val="1"/>
      <w:tblStyleColBandSize w:val="1"/>
      <w:tblInd w:w="0" w:type="dxa"/>
      <w:tblBorders>
        <w:top w:val="triple" w:sz="4" w:space="0" w:color="943634" w:themeColor="accent2" w:themeShade="BF"/>
        <w:left w:val="single" w:sz="4" w:space="0" w:color="943634" w:themeColor="accent2" w:themeShade="BF"/>
        <w:right w:val="single" w:sz="4" w:space="0" w:color="943634" w:themeColor="accent2" w:themeShade="BF"/>
      </w:tblBorders>
      <w:tblCellMar>
        <w:top w:w="0" w:type="dxa"/>
        <w:left w:w="108" w:type="dxa"/>
        <w:bottom w:w="0" w:type="dxa"/>
        <w:right w:w="108" w:type="dxa"/>
      </w:tblCellMar>
    </w:tblPr>
    <w:tcPr>
      <w:shd w:val="clear" w:color="auto" w:fill="943634" w:themeFill="accent2" w:themeFillShade="BF"/>
    </w:tc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291621">
      <w:bodyDiv w:val="1"/>
      <w:marLeft w:val="0"/>
      <w:marRight w:val="0"/>
      <w:marTop w:val="0"/>
      <w:marBottom w:val="0"/>
      <w:divBdr>
        <w:top w:val="none" w:sz="0" w:space="0" w:color="auto"/>
        <w:left w:val="none" w:sz="0" w:space="0" w:color="auto"/>
        <w:bottom w:val="none" w:sz="0" w:space="0" w:color="auto"/>
        <w:right w:val="none" w:sz="0" w:space="0" w:color="auto"/>
      </w:divBdr>
      <w:divsChild>
        <w:div w:id="101484171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diagramQuickStyle" Target="diagrams/quickStyle1.xml"/><Relationship Id="rId2" Type="http://schemas.openxmlformats.org/officeDocument/2006/relationships/diagramLayout" Target="diagrams/layout1.xml"/><Relationship Id="rId1" Type="http://schemas.openxmlformats.org/officeDocument/2006/relationships/diagramData" Target="diagrams/data1.xml"/><Relationship Id="rId5" Type="http://schemas.microsoft.com/office/2007/relationships/diagramDrawing" Target="diagrams/drawing1.xml"/><Relationship Id="rId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A512ED2-045D-47ED-B26F-6B4C7A1DFD10}" type="doc">
      <dgm:prSet loTypeId="urn:microsoft.com/office/officeart/2005/8/layout/vList6" loCatId="list" qsTypeId="urn:microsoft.com/office/officeart/2005/8/quickstyle/3d1" qsCatId="3D" csTypeId="urn:microsoft.com/office/officeart/2005/8/colors/accent2_4" csCatId="accent2" phldr="1"/>
      <dgm:spPr/>
      <dgm:t>
        <a:bodyPr/>
        <a:lstStyle/>
        <a:p>
          <a:endParaRPr lang="fr-FR"/>
        </a:p>
      </dgm:t>
    </dgm:pt>
    <dgm:pt modelId="{3B85DFD4-1ECE-4E90-A146-0ED2320F635C}">
      <dgm:prSet phldrT="[Texte]" custT="1"/>
      <dgm:spPr>
        <a:xfrm>
          <a:off x="769459" y="0"/>
          <a:ext cx="1170136" cy="372454"/>
        </a:xfrm>
        <a:scene3d>
          <a:camera prst="perspectiveRight">
            <a:rot lat="0" lon="20999991" rev="0"/>
          </a:camera>
          <a:lightRig rig="flat" dir="t"/>
        </a:scene3d>
        <a:sp3d prstMaterial="plastic">
          <a:bevelT w="146050" h="107950"/>
          <a:bevelB w="139700" h="31750" prst="angle"/>
        </a:sp3d>
      </dgm:spPr>
      <dgm:t>
        <a:bodyPr/>
        <a:lstStyle/>
        <a:p>
          <a:endParaRPr lang="fr-FR" sz="1400">
            <a:solidFill>
              <a:sysClr val="window" lastClr="FFFFFF"/>
            </a:solidFill>
            <a:latin typeface="Times New Roman" pitchFamily="18" charset="0"/>
            <a:ea typeface="+mn-ea"/>
            <a:cs typeface="Times New Roman" pitchFamily="18" charset="0"/>
          </a:endParaRPr>
        </a:p>
      </dgm:t>
    </dgm:pt>
    <dgm:pt modelId="{B0C52FEC-5742-473B-B606-2EA702B4E433}" type="parTrans" cxnId="{C522F13B-7213-4270-8C9C-4F26744C6978}">
      <dgm:prSet/>
      <dgm:spPr/>
      <dgm:t>
        <a:bodyPr/>
        <a:lstStyle/>
        <a:p>
          <a:endParaRPr lang="fr-FR"/>
        </a:p>
      </dgm:t>
    </dgm:pt>
    <dgm:pt modelId="{21070259-130F-49BA-841A-434127686A65}" type="sibTrans" cxnId="{C522F13B-7213-4270-8C9C-4F26744C6978}">
      <dgm:prSet/>
      <dgm:spPr/>
      <dgm:t>
        <a:bodyPr/>
        <a:lstStyle/>
        <a:p>
          <a:endParaRPr lang="fr-FR"/>
        </a:p>
      </dgm:t>
    </dgm:pt>
    <dgm:pt modelId="{FBEBC46A-54FC-463B-9D1A-34D5CDF9B568}">
      <dgm:prSet custT="1"/>
      <dgm:spPr>
        <a:xfrm rot="10800000">
          <a:off x="1165286" y="0"/>
          <a:ext cx="5312618" cy="382256"/>
        </a:xfrm>
        <a:solidFill>
          <a:srgbClr val="B86A68">
            <a:alpha val="90000"/>
          </a:srgbClr>
        </a:solidFill>
        <a:scene3d>
          <a:camera prst="orthographicFront"/>
          <a:lightRig rig="flat" dir="t"/>
        </a:scene3d>
        <a:sp3d z="-190500" extrusionH="12700" prstMaterial="plastic">
          <a:bevelT w="114300"/>
          <a:bevelB/>
        </a:sp3d>
      </dgm:spPr>
      <dgm:t>
        <a:bodyPr lIns="0" tIns="0" rIns="0" bIns="0" anchor="ctr" anchorCtr="0"/>
        <a:lstStyle/>
        <a:p>
          <a:pPr algn="r"/>
          <a:r>
            <a:rPr lang="fr-FR" sz="1400">
              <a:solidFill>
                <a:schemeClr val="bg1"/>
              </a:solidFill>
              <a:latin typeface="Times New Roman" pitchFamily="18" charset="0"/>
              <a:ea typeface="+mn-ea"/>
              <a:cs typeface="Times New Roman" pitchFamily="18" charset="0"/>
            </a:rPr>
            <a:t>Résumé</a:t>
          </a:r>
        </a:p>
      </dgm:t>
    </dgm:pt>
    <dgm:pt modelId="{345B9373-1EC3-49E4-970E-7C0AFF36CD0C}" type="sibTrans" cxnId="{5B3B79C2-0B9E-44EA-AB60-19EF0B6C094A}">
      <dgm:prSet/>
      <dgm:spPr/>
      <dgm:t>
        <a:bodyPr/>
        <a:lstStyle/>
        <a:p>
          <a:endParaRPr lang="fr-FR"/>
        </a:p>
      </dgm:t>
    </dgm:pt>
    <dgm:pt modelId="{456050A4-12EB-4608-92E0-0C413B7E5122}" type="parTrans" cxnId="{5B3B79C2-0B9E-44EA-AB60-19EF0B6C094A}">
      <dgm:prSet/>
      <dgm:spPr/>
      <dgm:t>
        <a:bodyPr/>
        <a:lstStyle/>
        <a:p>
          <a:endParaRPr lang="fr-FR"/>
        </a:p>
      </dgm:t>
    </dgm:pt>
    <dgm:pt modelId="{F8D5133D-E96A-4289-9C74-CED3FAB6CA2E}" type="pres">
      <dgm:prSet presAssocID="{BA512ED2-045D-47ED-B26F-6B4C7A1DFD10}" presName="Name0" presStyleCnt="0">
        <dgm:presLayoutVars>
          <dgm:dir val="rev"/>
          <dgm:animLvl val="lvl"/>
          <dgm:resizeHandles/>
        </dgm:presLayoutVars>
      </dgm:prSet>
      <dgm:spPr/>
      <dgm:t>
        <a:bodyPr/>
        <a:lstStyle/>
        <a:p>
          <a:endParaRPr lang="fr-FR"/>
        </a:p>
      </dgm:t>
    </dgm:pt>
    <dgm:pt modelId="{E9737071-CDBA-43E3-978D-06599D07C99A}" type="pres">
      <dgm:prSet presAssocID="{3B85DFD4-1ECE-4E90-A146-0ED2320F635C}" presName="linNode" presStyleCnt="0"/>
      <dgm:spPr/>
      <dgm:t>
        <a:bodyPr/>
        <a:lstStyle/>
        <a:p>
          <a:endParaRPr lang="fr-FR"/>
        </a:p>
      </dgm:t>
    </dgm:pt>
    <dgm:pt modelId="{D994780C-6357-436F-B696-7C29167E7CFC}" type="pres">
      <dgm:prSet presAssocID="{3B85DFD4-1ECE-4E90-A146-0ED2320F635C}" presName="parentShp" presStyleLbl="node1" presStyleIdx="0" presStyleCnt="1" custScaleX="147719" custScaleY="97436" custLinFactX="-200000" custLinFactNeighborX="-249292" custLinFactNeighborY="-1331">
        <dgm:presLayoutVars>
          <dgm:bulletEnabled val="1"/>
        </dgm:presLayoutVars>
      </dgm:prSet>
      <dgm:spPr>
        <a:xfrm>
          <a:off x="4709252" y="10596"/>
          <a:ext cx="1077831" cy="389469"/>
        </a:xfrm>
        <a:prstGeom prst="flowChartConnector">
          <a:avLst/>
        </a:prstGeom>
      </dgm:spPr>
      <dgm:t>
        <a:bodyPr/>
        <a:lstStyle/>
        <a:p>
          <a:endParaRPr lang="fr-FR"/>
        </a:p>
      </dgm:t>
    </dgm:pt>
    <dgm:pt modelId="{12D988E8-E872-4FAD-8CCB-29D8083B2A13}" type="pres">
      <dgm:prSet presAssocID="{3B85DFD4-1ECE-4E90-A146-0ED2320F635C}" presName="childShp" presStyleLbl="bgAccFollowNode1" presStyleIdx="0" presStyleCnt="1" custAng="0" custScaleX="447113" custLinFactX="31134" custLinFactNeighborX="100000">
        <dgm:presLayoutVars>
          <dgm:bulletEnabled val="1"/>
        </dgm:presLayoutVars>
      </dgm:prSet>
      <dgm:spPr>
        <a:xfrm>
          <a:off x="29" y="0"/>
          <a:ext cx="5397436" cy="399718"/>
        </a:xfrm>
        <a:prstGeom prst="flowChartOnlineStorage">
          <a:avLst/>
        </a:prstGeom>
      </dgm:spPr>
      <dgm:t>
        <a:bodyPr/>
        <a:lstStyle/>
        <a:p>
          <a:endParaRPr lang="fr-FR"/>
        </a:p>
      </dgm:t>
    </dgm:pt>
  </dgm:ptLst>
  <dgm:cxnLst>
    <dgm:cxn modelId="{C522F13B-7213-4270-8C9C-4F26744C6978}" srcId="{BA512ED2-045D-47ED-B26F-6B4C7A1DFD10}" destId="{3B85DFD4-1ECE-4E90-A146-0ED2320F635C}" srcOrd="0" destOrd="0" parTransId="{B0C52FEC-5742-473B-B606-2EA702B4E433}" sibTransId="{21070259-130F-49BA-841A-434127686A65}"/>
    <dgm:cxn modelId="{DE8AFED7-984B-4985-892F-7D10A0D95DB9}" type="presOf" srcId="{FBEBC46A-54FC-463B-9D1A-34D5CDF9B568}" destId="{12D988E8-E872-4FAD-8CCB-29D8083B2A13}" srcOrd="0" destOrd="0" presId="urn:microsoft.com/office/officeart/2005/8/layout/vList6"/>
    <dgm:cxn modelId="{27444211-1CAF-488C-A604-4B4ADD3928CA}" type="presOf" srcId="{3B85DFD4-1ECE-4E90-A146-0ED2320F635C}" destId="{D994780C-6357-436F-B696-7C29167E7CFC}" srcOrd="0" destOrd="0" presId="urn:microsoft.com/office/officeart/2005/8/layout/vList6"/>
    <dgm:cxn modelId="{5B3B79C2-0B9E-44EA-AB60-19EF0B6C094A}" srcId="{3B85DFD4-1ECE-4E90-A146-0ED2320F635C}" destId="{FBEBC46A-54FC-463B-9D1A-34D5CDF9B568}" srcOrd="0" destOrd="0" parTransId="{456050A4-12EB-4608-92E0-0C413B7E5122}" sibTransId="{345B9373-1EC3-49E4-970E-7C0AFF36CD0C}"/>
    <dgm:cxn modelId="{A748B81D-C963-4C29-BCD8-E587CA9F1AE4}" type="presOf" srcId="{BA512ED2-045D-47ED-B26F-6B4C7A1DFD10}" destId="{F8D5133D-E96A-4289-9C74-CED3FAB6CA2E}" srcOrd="0" destOrd="0" presId="urn:microsoft.com/office/officeart/2005/8/layout/vList6"/>
    <dgm:cxn modelId="{FC44D44D-EA5E-4CC4-8C16-8A8F57DDA73F}" type="presParOf" srcId="{F8D5133D-E96A-4289-9C74-CED3FAB6CA2E}" destId="{E9737071-CDBA-43E3-978D-06599D07C99A}" srcOrd="0" destOrd="0" presId="urn:microsoft.com/office/officeart/2005/8/layout/vList6"/>
    <dgm:cxn modelId="{06D9BD1D-365D-4352-BAA2-808E8595EF50}" type="presParOf" srcId="{E9737071-CDBA-43E3-978D-06599D07C99A}" destId="{D994780C-6357-436F-B696-7C29167E7CFC}" srcOrd="0" destOrd="0" presId="urn:microsoft.com/office/officeart/2005/8/layout/vList6"/>
    <dgm:cxn modelId="{24D344E1-B0EC-48F7-85F6-AEDBC9E6FDE4}" type="presParOf" srcId="{E9737071-CDBA-43E3-978D-06599D07C99A}" destId="{12D988E8-E872-4FAD-8CCB-29D8083B2A13}" srcOrd="1" destOrd="0" presId="urn:microsoft.com/office/officeart/2005/8/layout/vList6"/>
  </dgm:cxnLst>
  <dgm:bg/>
  <dgm:whole/>
  <dgm:extLst>
    <a:ext uri="http://schemas.microsoft.com/office/drawing/2008/diagram">
      <dsp:dataModelExt xmlns:dsp="http://schemas.microsoft.com/office/drawing/2008/diagram" relId="rId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D988E8-E872-4FAD-8CCB-29D8083B2A13}">
      <dsp:nvSpPr>
        <dsp:cNvPr id="0" name=""/>
        <dsp:cNvSpPr/>
      </dsp:nvSpPr>
      <dsp:spPr>
        <a:xfrm rot="10800000">
          <a:off x="1152037" y="0"/>
          <a:ext cx="5252217" cy="380365"/>
        </a:xfrm>
        <a:prstGeom prst="flowChartOnlineStorage">
          <a:avLst/>
        </a:prstGeom>
        <a:solidFill>
          <a:srgbClr val="B86A68">
            <a:alpha val="90000"/>
          </a:srgbClr>
        </a:solidFill>
        <a:ln w="9525" cap="flat" cmpd="sng" algn="ctr">
          <a:solidFill>
            <a:schemeClr val="lt1">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z="-190500" extrusionH="12700" prstMaterial="plastic">
          <a:bevelT w="114300"/>
          <a:bevelB/>
        </a:sp3d>
      </dsp:spPr>
      <dsp:style>
        <a:lnRef idx="1">
          <a:scrgbClr r="0" g="0" b="0"/>
        </a:lnRef>
        <a:fillRef idx="1">
          <a:scrgbClr r="0" g="0" b="0"/>
        </a:fillRef>
        <a:effectRef idx="2">
          <a:scrgbClr r="0" g="0" b="0"/>
        </a:effectRef>
        <a:fontRef idx="minor"/>
      </dsp:style>
      <dsp:txBody>
        <a:bodyPr spcFirstLastPara="0" vert="horz" wrap="square" lIns="0" tIns="0" rIns="0" bIns="0" numCol="1" spcCol="1270" anchor="ctr" anchorCtr="0">
          <a:noAutofit/>
        </a:bodyPr>
        <a:lstStyle/>
        <a:p>
          <a:pPr marL="114300" lvl="1" indent="-114300" algn="r" defTabSz="622300">
            <a:lnSpc>
              <a:spcPct val="90000"/>
            </a:lnSpc>
            <a:spcBef>
              <a:spcPct val="0"/>
            </a:spcBef>
            <a:spcAft>
              <a:spcPct val="15000"/>
            </a:spcAft>
            <a:buChar char="••"/>
          </a:pPr>
          <a:r>
            <a:rPr lang="fr-FR" sz="1400" kern="1200">
              <a:solidFill>
                <a:schemeClr val="bg1"/>
              </a:solidFill>
              <a:latin typeface="Times New Roman" pitchFamily="18" charset="0"/>
              <a:ea typeface="+mn-ea"/>
              <a:cs typeface="Times New Roman" pitchFamily="18" charset="0"/>
            </a:rPr>
            <a:t>Résumé</a:t>
          </a:r>
        </a:p>
      </dsp:txBody>
      <dsp:txXfrm rot="10800000">
        <a:off x="2027406" y="0"/>
        <a:ext cx="3501478" cy="380365"/>
      </dsp:txXfrm>
    </dsp:sp>
    <dsp:sp modelId="{D994780C-6357-436F-B696-7C29167E7CFC}">
      <dsp:nvSpPr>
        <dsp:cNvPr id="0" name=""/>
        <dsp:cNvSpPr/>
      </dsp:nvSpPr>
      <dsp:spPr>
        <a:xfrm>
          <a:off x="760711" y="0"/>
          <a:ext cx="1156832" cy="370612"/>
        </a:xfrm>
        <a:prstGeom prst="flowChartConnector">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perspectiveRight">
            <a:rot lat="0" lon="20999991" rev="0"/>
          </a:camera>
          <a:lightRig rig="flat" dir="t"/>
        </a:scene3d>
        <a:sp3d prstMaterial="plastic">
          <a:bevelT w="146050" h="107950"/>
          <a:bevelB w="1397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endParaRPr lang="fr-FR" sz="1400" kern="1200">
            <a:solidFill>
              <a:sysClr val="window" lastClr="FFFFFF"/>
            </a:solidFill>
            <a:latin typeface="Times New Roman" pitchFamily="18" charset="0"/>
            <a:ea typeface="+mn-ea"/>
            <a:cs typeface="Times New Roman" pitchFamily="18" charset="0"/>
          </a:endParaRPr>
        </a:p>
      </dsp:txBody>
      <dsp:txXfrm>
        <a:off x="930125" y="54275"/>
        <a:ext cx="818004" cy="262062"/>
      </dsp:txXfrm>
    </dsp:sp>
  </dsp:spTree>
</dsp:drawing>
</file>

<file path=word/diagrams/layout1.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32E601BD-B640-4923-AF4C-993DEDF63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266</TotalTime>
  <Pages>1</Pages>
  <Words>297</Words>
  <Characters>1638</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XPSP2</Company>
  <LinksUpToDate>false</LinksUpToDate>
  <CharactersWithSpaces>1932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azzaz</dc:creator>
  <cp:keywords/>
  <dc:description/>
  <cp:lastModifiedBy>Jacky</cp:lastModifiedBy>
  <cp:revision>73</cp:revision>
  <cp:lastPrinted>2011-11-27T20:33:00Z</cp:lastPrinted>
  <dcterms:created xsi:type="dcterms:W3CDTF">2002-06-15T12:26:00Z</dcterms:created>
  <dcterms:modified xsi:type="dcterms:W3CDTF">2011-12-17T18:34:00Z</dcterms:modified>
</cp:coreProperties>
</file>