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A6B" w:rsidRDefault="00DB1A6B" w:rsidP="00DB1A6B">
      <w:r>
        <w:t xml:space="preserve">  Durant ces dernières années beaucoup d’intérêt fût porté par les chercheurs aux manipulateurs mobiles, vu leur mobilité  et leur dextérité. Cependant, l’association d’un manipulateur et d’une base mobile soulève plusieurs problématiques, entre  autres, la modélisation du robot, la planification de trajectoires et de mouvements, la coordination entre la base mobile  et le manipulateur et la décomposition de la tâche à exécuter entre le manipulateur et la base mobile. Ces préoccupations  ont été prises en charge dans le cadre de l’élaboration d’une architecture multi-agents de contrôle des manipulateurs</w:t>
      </w:r>
    </w:p>
    <w:p w:rsidR="000E41E8" w:rsidRDefault="00DB1A6B" w:rsidP="00DB1A6B">
      <w:r>
        <w:t xml:space="preserve"> </w:t>
      </w:r>
      <w:proofErr w:type="gramStart"/>
      <w:r>
        <w:t>mobiles</w:t>
      </w:r>
      <w:proofErr w:type="gramEnd"/>
      <w:r>
        <w:t xml:space="preserve">. L’architecture de contrôle proposée consiste en six agents hybrides (i) </w:t>
      </w:r>
      <w:proofErr w:type="spellStart"/>
      <w:r>
        <w:t>Supervisory</w:t>
      </w:r>
      <w:proofErr w:type="spellEnd"/>
      <w:r>
        <w:t xml:space="preserve"> Agent (SA), (ii) Local Mobile  Robot Agent (LMRA), (iii) Local </w:t>
      </w:r>
      <w:proofErr w:type="spellStart"/>
      <w:r>
        <w:t>Manipulator</w:t>
      </w:r>
      <w:proofErr w:type="spellEnd"/>
      <w:r>
        <w:t xml:space="preserve"> Robot Agent (LARA), (iv) Vision System Agent (VSA), (v) </w:t>
      </w:r>
      <w:proofErr w:type="spellStart"/>
      <w:r>
        <w:t>Remote</w:t>
      </w:r>
      <w:proofErr w:type="spellEnd"/>
      <w:r>
        <w:t xml:space="preserve"> Mobile  Robot Agent (RMRA) et (vi) </w:t>
      </w:r>
      <w:proofErr w:type="spellStart"/>
      <w:r>
        <w:t>Remote</w:t>
      </w:r>
      <w:proofErr w:type="spellEnd"/>
      <w:r>
        <w:t xml:space="preserve"> </w:t>
      </w:r>
      <w:proofErr w:type="spellStart"/>
      <w:r>
        <w:t>Manipulator</w:t>
      </w:r>
      <w:proofErr w:type="spellEnd"/>
      <w:r>
        <w:t xml:space="preserve"> Robot Agent (RARA). Chaque agent modélise une fonction principale du  manipulateur mobile et contrôle un sous-système différent. De plus, un mécanisme connectant les quatre capacités (i)  Supervision, (ii) Perception, (iii) </w:t>
      </w:r>
      <w:proofErr w:type="spellStart"/>
      <w:r>
        <w:t>Decision</w:t>
      </w:r>
      <w:proofErr w:type="spellEnd"/>
      <w:r>
        <w:t xml:space="preserve"> et (iv) Action correspond à chaque agent de l’architecture. La validation de cette  architecture a été effectuée, via son interface de contrôle homme/robot, à travers plusieurs tâches manufacturières et de  surveillance (telles que la saisie d’objets, le suivi de trajectoires opérationnelles imposées, l'alignement de l’effecteur sur plusieurs objets, etc.) sur le manipulateur mobile </w:t>
      </w:r>
      <w:proofErr w:type="spellStart"/>
      <w:r>
        <w:t>RobuTER</w:t>
      </w:r>
      <w:proofErr w:type="spellEnd"/>
      <w:r>
        <w:t>/ULM. Aussi, des résultats satisfaisants ont été obtenus pour la  totalité des problèmes traités.</w:t>
      </w:r>
    </w:p>
    <w:sectPr w:rsidR="000E41E8" w:rsidSect="000E41E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B1A6B"/>
    <w:rsid w:val="000E41E8"/>
    <w:rsid w:val="00DB1A6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E41E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249</Words>
  <Characters>1372</Characters>
  <Application>Microsoft Office Word</Application>
  <DocSecurity>0</DocSecurity>
  <Lines>11</Lines>
  <Paragraphs>3</Paragraphs>
  <ScaleCrop>false</ScaleCrop>
  <Company/>
  <LinksUpToDate>false</LinksUpToDate>
  <CharactersWithSpaces>1618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2014-12-03T13:30:00Z</dcterms:created>
  <dcterms:modified xsi:type="dcterms:W3CDTF">2014-12-03T13:30:00Z</dcterms:modified>
</cp:coreProperties>
</file>