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06EA9" w:rsidRPr="00F06EA9" w:rsidRDefault="00F06EA9" w:rsidP="00F06EA9">
      <w:pPr>
        <w:spacing w:before="120" w:after="120" w:line="360" w:lineRule="atLeast"/>
        <w:ind w:left="567"/>
        <w:jc w:val="both"/>
        <w:rPr>
          <w:rFonts w:asciiTheme="majorBidi" w:hAnsiTheme="majorBidi" w:cstheme="majorBidi"/>
          <w:b/>
          <w:bCs/>
          <w:sz w:val="24"/>
          <w:szCs w:val="24"/>
        </w:rPr>
      </w:pPr>
      <w:r w:rsidRPr="00F06EA9">
        <w:rPr>
          <w:rFonts w:asciiTheme="majorBidi" w:hAnsiTheme="majorBidi" w:cstheme="majorBidi"/>
          <w:b/>
          <w:bCs/>
          <w:sz w:val="24"/>
          <w:szCs w:val="24"/>
        </w:rPr>
        <w:t>Résumé</w:t>
      </w:r>
    </w:p>
    <w:p w:rsidR="00F06EA9" w:rsidRPr="00D9491B" w:rsidRDefault="00F06EA9" w:rsidP="00F06EA9">
      <w:pPr>
        <w:spacing w:before="120" w:after="120" w:line="360" w:lineRule="atLeast"/>
        <w:ind w:left="567"/>
        <w:jc w:val="both"/>
        <w:rPr>
          <w:rFonts w:asciiTheme="majorBidi" w:hAnsiTheme="majorBidi" w:cstheme="majorBidi"/>
          <w:sz w:val="24"/>
          <w:szCs w:val="24"/>
        </w:rPr>
      </w:pPr>
      <w:r>
        <w:rPr>
          <w:rFonts w:asciiTheme="majorBidi" w:hAnsiTheme="majorBidi" w:cstheme="majorBidi"/>
          <w:sz w:val="24"/>
          <w:szCs w:val="24"/>
        </w:rPr>
        <w:t>Dans ce travail de recherche nous avons développé deux méthodes pour modéliser le phénomène du poinçonnement des dalles. L</w:t>
      </w:r>
      <w:r w:rsidRPr="00D9491B">
        <w:rPr>
          <w:rFonts w:asciiTheme="majorBidi" w:hAnsiTheme="majorBidi" w:cstheme="majorBidi"/>
          <w:sz w:val="24"/>
          <w:szCs w:val="24"/>
        </w:rPr>
        <w:t>a première explorée, basée sur une approche métaheuristique, est une méthode d'apprentissage artificiel hybride basée sur les réseaux de neurones à apprentissage flou appelé « </w:t>
      </w:r>
      <w:proofErr w:type="spellStart"/>
      <w:r>
        <w:rPr>
          <w:rFonts w:asciiTheme="majorBidi" w:hAnsiTheme="majorBidi" w:cstheme="majorBidi"/>
          <w:sz w:val="24"/>
          <w:szCs w:val="24"/>
        </w:rPr>
        <w:t>N</w:t>
      </w:r>
      <w:r w:rsidRPr="00D9491B">
        <w:rPr>
          <w:rFonts w:asciiTheme="majorBidi" w:hAnsiTheme="majorBidi" w:cstheme="majorBidi"/>
          <w:sz w:val="24"/>
          <w:szCs w:val="24"/>
        </w:rPr>
        <w:t>euro</w:t>
      </w:r>
      <w:proofErr w:type="spellEnd"/>
      <w:r w:rsidRPr="00D9491B">
        <w:rPr>
          <w:rFonts w:asciiTheme="majorBidi" w:hAnsiTheme="majorBidi" w:cstheme="majorBidi"/>
          <w:sz w:val="24"/>
          <w:szCs w:val="24"/>
        </w:rPr>
        <w:t>-</w:t>
      </w:r>
      <w:r>
        <w:rPr>
          <w:rFonts w:asciiTheme="majorBidi" w:hAnsiTheme="majorBidi" w:cstheme="majorBidi"/>
          <w:sz w:val="24"/>
          <w:szCs w:val="24"/>
        </w:rPr>
        <w:t>F</w:t>
      </w:r>
      <w:r w:rsidRPr="00D9491B">
        <w:rPr>
          <w:rFonts w:asciiTheme="majorBidi" w:hAnsiTheme="majorBidi" w:cstheme="majorBidi"/>
          <w:sz w:val="24"/>
          <w:szCs w:val="24"/>
        </w:rPr>
        <w:t>lou ». L'utilisation de ces modèles très puissants présente néanmoins l'inconvénient de l'existence d'une base de données très riche pas toujours facile à obtenir. Ainsi les résultats de 280 spécimens d'essais sur le poinçonnement des dalles sans armature de cisaillement ont été récupérés dans la li</w:t>
      </w:r>
      <w:r>
        <w:rPr>
          <w:rFonts w:asciiTheme="majorBidi" w:hAnsiTheme="majorBidi" w:cstheme="majorBidi"/>
          <w:sz w:val="24"/>
          <w:szCs w:val="24"/>
        </w:rPr>
        <w:t>ttérature</w:t>
      </w:r>
      <w:r w:rsidRPr="00D9491B">
        <w:rPr>
          <w:rFonts w:asciiTheme="majorBidi" w:hAnsiTheme="majorBidi" w:cstheme="majorBidi"/>
          <w:sz w:val="24"/>
          <w:szCs w:val="24"/>
        </w:rPr>
        <w:t xml:space="preserve"> spécialisée et exploités par un modèle d'optimisation </w:t>
      </w:r>
      <w:proofErr w:type="spellStart"/>
      <w:r>
        <w:rPr>
          <w:rFonts w:asciiTheme="majorBidi" w:hAnsiTheme="majorBidi" w:cstheme="majorBidi"/>
          <w:sz w:val="24"/>
          <w:szCs w:val="24"/>
        </w:rPr>
        <w:t>N</w:t>
      </w:r>
      <w:r w:rsidRPr="00D9491B">
        <w:rPr>
          <w:rFonts w:asciiTheme="majorBidi" w:hAnsiTheme="majorBidi" w:cstheme="majorBidi"/>
          <w:sz w:val="24"/>
          <w:szCs w:val="24"/>
        </w:rPr>
        <w:t>euro</w:t>
      </w:r>
      <w:proofErr w:type="spellEnd"/>
      <w:r w:rsidRPr="00D9491B">
        <w:rPr>
          <w:rFonts w:asciiTheme="majorBidi" w:hAnsiTheme="majorBidi" w:cstheme="majorBidi"/>
          <w:sz w:val="24"/>
          <w:szCs w:val="24"/>
        </w:rPr>
        <w:t>-</w:t>
      </w:r>
      <w:proofErr w:type="gramStart"/>
      <w:r>
        <w:rPr>
          <w:rFonts w:asciiTheme="majorBidi" w:hAnsiTheme="majorBidi" w:cstheme="majorBidi"/>
          <w:sz w:val="24"/>
          <w:szCs w:val="24"/>
        </w:rPr>
        <w:t>F</w:t>
      </w:r>
      <w:r w:rsidRPr="00D9491B">
        <w:rPr>
          <w:rFonts w:asciiTheme="majorBidi" w:hAnsiTheme="majorBidi" w:cstheme="majorBidi"/>
          <w:sz w:val="24"/>
          <w:szCs w:val="24"/>
        </w:rPr>
        <w:t>lou  (</w:t>
      </w:r>
      <w:proofErr w:type="gramEnd"/>
      <w:r w:rsidRPr="00D9491B">
        <w:rPr>
          <w:rFonts w:asciiTheme="majorBidi" w:hAnsiTheme="majorBidi" w:cstheme="majorBidi"/>
          <w:sz w:val="24"/>
          <w:szCs w:val="24"/>
        </w:rPr>
        <w:t>194 pour l'apprentissage et 86 pour la validation) développé sous la forme d'un programme de calcul numérique. Celui-ci a été sanctionné par des critères de validation statistique de convergence. Pour mieux apprécier quantitativement la puissance de ce modèle une comparaison a été effectué</w:t>
      </w:r>
      <w:r>
        <w:rPr>
          <w:rFonts w:asciiTheme="majorBidi" w:hAnsiTheme="majorBidi" w:cstheme="majorBidi"/>
          <w:sz w:val="24"/>
          <w:szCs w:val="24"/>
        </w:rPr>
        <w:t>e</w:t>
      </w:r>
      <w:r w:rsidRPr="00D9491B">
        <w:rPr>
          <w:rFonts w:asciiTheme="majorBidi" w:hAnsiTheme="majorBidi" w:cstheme="majorBidi"/>
          <w:sz w:val="24"/>
          <w:szCs w:val="24"/>
        </w:rPr>
        <w:t xml:space="preserve"> avec certaines normes représentatives dans le monde .Le modèle </w:t>
      </w:r>
      <w:proofErr w:type="spellStart"/>
      <w:r>
        <w:rPr>
          <w:rFonts w:asciiTheme="majorBidi" w:hAnsiTheme="majorBidi" w:cstheme="majorBidi"/>
          <w:sz w:val="24"/>
          <w:szCs w:val="24"/>
        </w:rPr>
        <w:t>N</w:t>
      </w:r>
      <w:r w:rsidRPr="00D9491B">
        <w:rPr>
          <w:rFonts w:asciiTheme="majorBidi" w:hAnsiTheme="majorBidi" w:cstheme="majorBidi"/>
          <w:sz w:val="24"/>
          <w:szCs w:val="24"/>
        </w:rPr>
        <w:t>euro</w:t>
      </w:r>
      <w:proofErr w:type="spellEnd"/>
      <w:r w:rsidRPr="00D9491B">
        <w:rPr>
          <w:rFonts w:asciiTheme="majorBidi" w:hAnsiTheme="majorBidi" w:cstheme="majorBidi"/>
          <w:sz w:val="24"/>
          <w:szCs w:val="24"/>
        </w:rPr>
        <w:t>-</w:t>
      </w:r>
      <w:r>
        <w:rPr>
          <w:rFonts w:asciiTheme="majorBidi" w:hAnsiTheme="majorBidi" w:cstheme="majorBidi"/>
          <w:sz w:val="24"/>
          <w:szCs w:val="24"/>
        </w:rPr>
        <w:t>F</w:t>
      </w:r>
      <w:r w:rsidRPr="00D9491B">
        <w:rPr>
          <w:rFonts w:asciiTheme="majorBidi" w:hAnsiTheme="majorBidi" w:cstheme="majorBidi"/>
          <w:sz w:val="24"/>
          <w:szCs w:val="24"/>
        </w:rPr>
        <w:t>lou enregistre une très grande précision de prédictions de la résistance au poinçonnement par rapport à tous les codes de conception étudi</w:t>
      </w:r>
      <w:r>
        <w:rPr>
          <w:rFonts w:asciiTheme="majorBidi" w:hAnsiTheme="majorBidi" w:cstheme="majorBidi"/>
          <w:sz w:val="24"/>
          <w:szCs w:val="24"/>
        </w:rPr>
        <w:t>és</w:t>
      </w:r>
      <w:r w:rsidRPr="00D9491B">
        <w:rPr>
          <w:rFonts w:asciiTheme="majorBidi" w:hAnsiTheme="majorBidi" w:cstheme="majorBidi"/>
          <w:sz w:val="24"/>
          <w:szCs w:val="24"/>
        </w:rPr>
        <w:t xml:space="preserve"> (ACI318, SIA262</w:t>
      </w:r>
      <w:proofErr w:type="gramStart"/>
      <w:r w:rsidRPr="00D9491B">
        <w:rPr>
          <w:rFonts w:asciiTheme="majorBidi" w:hAnsiTheme="majorBidi" w:cstheme="majorBidi"/>
          <w:sz w:val="24"/>
          <w:szCs w:val="24"/>
        </w:rPr>
        <w:t>,CBA93</w:t>
      </w:r>
      <w:proofErr w:type="gramEnd"/>
      <w:r w:rsidRPr="00D9491B">
        <w:rPr>
          <w:rFonts w:asciiTheme="majorBidi" w:hAnsiTheme="majorBidi" w:cstheme="majorBidi"/>
          <w:sz w:val="24"/>
          <w:szCs w:val="24"/>
        </w:rPr>
        <w:t>). Cependant pour une appréciation qualitative de cette approche une étude paramétrique sur les principaux paramètres d'interactions du phénomène tel</w:t>
      </w:r>
      <w:r>
        <w:rPr>
          <w:rFonts w:asciiTheme="majorBidi" w:hAnsiTheme="majorBidi" w:cstheme="majorBidi"/>
          <w:sz w:val="24"/>
          <w:szCs w:val="24"/>
        </w:rPr>
        <w:t>s</w:t>
      </w:r>
      <w:r w:rsidRPr="00D9491B">
        <w:rPr>
          <w:rFonts w:asciiTheme="majorBidi" w:hAnsiTheme="majorBidi" w:cstheme="majorBidi"/>
          <w:sz w:val="24"/>
          <w:szCs w:val="24"/>
        </w:rPr>
        <w:t xml:space="preserve"> que la porté</w:t>
      </w:r>
      <w:r>
        <w:rPr>
          <w:rFonts w:asciiTheme="majorBidi" w:hAnsiTheme="majorBidi" w:cstheme="majorBidi"/>
          <w:sz w:val="24"/>
          <w:szCs w:val="24"/>
        </w:rPr>
        <w:t>e</w:t>
      </w:r>
      <w:r w:rsidRPr="00D9491B">
        <w:rPr>
          <w:rFonts w:asciiTheme="majorBidi" w:hAnsiTheme="majorBidi" w:cstheme="majorBidi"/>
          <w:sz w:val="24"/>
          <w:szCs w:val="24"/>
        </w:rPr>
        <w:t xml:space="preserve"> "L", l'épaisseur effective de la dalle "d" le taux d'armature </w:t>
      </w:r>
      <w:r w:rsidRPr="00D9491B">
        <w:rPr>
          <w:rFonts w:ascii="Cambria Math" w:hAnsi="Cambria Math" w:cstheme="majorBidi"/>
          <w:sz w:val="24"/>
          <w:szCs w:val="24"/>
        </w:rPr>
        <w:t>𝝆</w:t>
      </w:r>
      <w:r w:rsidRPr="00D9491B">
        <w:rPr>
          <w:rFonts w:asciiTheme="majorBidi" w:hAnsiTheme="majorBidi" w:cstheme="majorBidi"/>
          <w:sz w:val="24"/>
          <w:szCs w:val="24"/>
        </w:rPr>
        <w:t xml:space="preserve"> et la contrainte de compression du béton </w:t>
      </w:r>
      <w:proofErr w:type="spellStart"/>
      <w:r>
        <w:rPr>
          <w:rFonts w:asciiTheme="majorBidi" w:hAnsiTheme="majorBidi" w:cstheme="majorBidi"/>
          <w:sz w:val="24"/>
          <w:szCs w:val="24"/>
        </w:rPr>
        <w:t>f</w:t>
      </w:r>
      <w:r w:rsidRPr="00D9491B">
        <w:rPr>
          <w:rFonts w:asciiTheme="majorBidi" w:hAnsiTheme="majorBidi" w:cstheme="majorBidi"/>
          <w:sz w:val="24"/>
          <w:szCs w:val="24"/>
          <w:vertAlign w:val="subscript"/>
        </w:rPr>
        <w:t>c</w:t>
      </w:r>
      <w:proofErr w:type="spellEnd"/>
      <w:r w:rsidRPr="00D9491B">
        <w:rPr>
          <w:rFonts w:asciiTheme="majorBidi" w:hAnsiTheme="majorBidi" w:cstheme="majorBidi"/>
          <w:sz w:val="24"/>
          <w:szCs w:val="24"/>
        </w:rPr>
        <w:t xml:space="preserve"> est effectuée en faisant vari</w:t>
      </w:r>
      <w:r>
        <w:rPr>
          <w:rFonts w:asciiTheme="majorBidi" w:hAnsiTheme="majorBidi" w:cstheme="majorBidi"/>
          <w:sz w:val="24"/>
          <w:szCs w:val="24"/>
        </w:rPr>
        <w:t>er</w:t>
      </w:r>
      <w:r w:rsidRPr="00D9491B">
        <w:rPr>
          <w:rFonts w:asciiTheme="majorBidi" w:hAnsiTheme="majorBidi" w:cstheme="majorBidi"/>
          <w:sz w:val="24"/>
          <w:szCs w:val="24"/>
        </w:rPr>
        <w:t xml:space="preserve"> la valeur de chacune d'elles indépendamment. Celle-ci démontre que le modèle respecte le mécanisme fondamental de rupture par poinçonnement tel que décrit par plusieurs chercheurs.</w:t>
      </w:r>
    </w:p>
    <w:p w:rsidR="00F06EA9" w:rsidRPr="00D9491B" w:rsidRDefault="00F06EA9" w:rsidP="00F06EA9">
      <w:pPr>
        <w:spacing w:before="120" w:after="120" w:line="360" w:lineRule="atLeast"/>
        <w:ind w:left="567"/>
        <w:jc w:val="both"/>
        <w:rPr>
          <w:rFonts w:asciiTheme="majorBidi" w:hAnsiTheme="majorBidi" w:cstheme="majorBidi"/>
          <w:sz w:val="24"/>
          <w:szCs w:val="24"/>
        </w:rPr>
      </w:pPr>
      <w:r w:rsidRPr="00D9491B">
        <w:rPr>
          <w:rFonts w:asciiTheme="majorBidi" w:hAnsiTheme="majorBidi" w:cstheme="majorBidi"/>
          <w:sz w:val="24"/>
          <w:szCs w:val="24"/>
        </w:rPr>
        <w:t>Une deuxième méthode de conception plus conviviale et simple d'utilisation est présentée. Celle-ci est basée sur une approche déterministe de modélisation prédictive paramétrique, où l’effort limite de rupture par poinçonnement de la dalle est modélisé par un modèle de régression linéaire multiple. Cette équation prend en charge tous les paramètres matériels et géométriques interagissant dans le phénomène. Cette formulation, e</w:t>
      </w:r>
      <w:r>
        <w:rPr>
          <w:rFonts w:asciiTheme="majorBidi" w:hAnsiTheme="majorBidi" w:cstheme="majorBidi"/>
          <w:sz w:val="24"/>
          <w:szCs w:val="24"/>
        </w:rPr>
        <w:t>s</w:t>
      </w:r>
      <w:r w:rsidRPr="00D9491B">
        <w:rPr>
          <w:rFonts w:asciiTheme="majorBidi" w:hAnsiTheme="majorBidi" w:cstheme="majorBidi"/>
          <w:sz w:val="24"/>
          <w:szCs w:val="24"/>
        </w:rPr>
        <w:t xml:space="preserve">t malgré sa simplicité, offre au concepteur une aussi bonne précision que le modèle </w:t>
      </w:r>
      <w:proofErr w:type="spellStart"/>
      <w:r>
        <w:rPr>
          <w:rFonts w:asciiTheme="majorBidi" w:hAnsiTheme="majorBidi" w:cstheme="majorBidi"/>
          <w:sz w:val="24"/>
          <w:szCs w:val="24"/>
        </w:rPr>
        <w:t>N</w:t>
      </w:r>
      <w:r w:rsidRPr="00D9491B">
        <w:rPr>
          <w:rFonts w:asciiTheme="majorBidi" w:hAnsiTheme="majorBidi" w:cstheme="majorBidi"/>
          <w:sz w:val="24"/>
          <w:szCs w:val="24"/>
        </w:rPr>
        <w:t>euro</w:t>
      </w:r>
      <w:proofErr w:type="spellEnd"/>
      <w:r w:rsidRPr="00D9491B">
        <w:rPr>
          <w:rFonts w:asciiTheme="majorBidi" w:hAnsiTheme="majorBidi" w:cstheme="majorBidi"/>
          <w:sz w:val="24"/>
          <w:szCs w:val="24"/>
        </w:rPr>
        <w:t>-</w:t>
      </w:r>
      <w:proofErr w:type="gramStart"/>
      <w:r>
        <w:rPr>
          <w:rFonts w:asciiTheme="majorBidi" w:hAnsiTheme="majorBidi" w:cstheme="majorBidi"/>
          <w:sz w:val="24"/>
          <w:szCs w:val="24"/>
        </w:rPr>
        <w:t>F</w:t>
      </w:r>
      <w:r w:rsidRPr="00D9491B">
        <w:rPr>
          <w:rFonts w:asciiTheme="majorBidi" w:hAnsiTheme="majorBidi" w:cstheme="majorBidi"/>
          <w:sz w:val="24"/>
          <w:szCs w:val="24"/>
        </w:rPr>
        <w:t>lou .</w:t>
      </w:r>
      <w:proofErr w:type="gramEnd"/>
    </w:p>
    <w:p w:rsidR="00F06EA9" w:rsidRDefault="00F06EA9" w:rsidP="00F06EA9"/>
    <w:p w:rsidR="00717B0C" w:rsidRDefault="00F06EA9" w:rsidP="00F06EA9">
      <w:pPr>
        <w:ind w:left="1843" w:hanging="1276"/>
      </w:pPr>
      <w:r w:rsidRPr="00F06EA9">
        <w:rPr>
          <w:b/>
          <w:bCs/>
        </w:rPr>
        <w:t>Mots clés :</w:t>
      </w:r>
      <w:r>
        <w:rPr>
          <w:b/>
          <w:bCs/>
        </w:rPr>
        <w:t xml:space="preserve">  </w:t>
      </w:r>
      <w:r>
        <w:t xml:space="preserve"> poinçonnement, connexion dalle colonne, réseaux de neurones, logique floue, système </w:t>
      </w:r>
      <w:proofErr w:type="spellStart"/>
      <w:r>
        <w:t>Neuro</w:t>
      </w:r>
      <w:proofErr w:type="spellEnd"/>
      <w:r>
        <w:t>-</w:t>
      </w:r>
      <w:proofErr w:type="gramStart"/>
      <w:r>
        <w:t>Flou ,</w:t>
      </w:r>
      <w:proofErr w:type="gramEnd"/>
      <w:r>
        <w:t xml:space="preserve"> méthodes </w:t>
      </w:r>
      <w:proofErr w:type="spellStart"/>
      <w:r>
        <w:t>métaheuristiques</w:t>
      </w:r>
      <w:proofErr w:type="spellEnd"/>
      <w:r>
        <w:t xml:space="preserve"> ,régression linéaire</w:t>
      </w:r>
    </w:p>
    <w:sectPr w:rsidR="00717B0C" w:rsidSect="008C2E34">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51"/>
  <w:proofState w:spelling="clean" w:grammar="clean"/>
  <w:defaultTabStop w:val="708"/>
  <w:hyphenationZone w:val="425"/>
  <w:characterSpacingControl w:val="doNotCompress"/>
  <w:compat/>
  <w:rsids>
    <w:rsidRoot w:val="00F06EA9"/>
    <w:rsid w:val="00285F6F"/>
    <w:rsid w:val="00695A4D"/>
    <w:rsid w:val="00717B0C"/>
    <w:rsid w:val="008C2E34"/>
    <w:rsid w:val="00BD509A"/>
    <w:rsid w:val="00F06EA9"/>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06EA9"/>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14</TotalTime>
  <Pages>1</Pages>
  <Words>367</Words>
  <Characters>2020</Characters>
  <Application>Microsoft Office Word</Application>
  <DocSecurity>0</DocSecurity>
  <Lines>16</Lines>
  <Paragraphs>4</Paragraphs>
  <ScaleCrop>false</ScaleCrop>
  <Company/>
  <LinksUpToDate>false</LinksUpToDate>
  <CharactersWithSpaces>2383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PC</cp:lastModifiedBy>
  <cp:revision>1</cp:revision>
  <dcterms:created xsi:type="dcterms:W3CDTF">2015-04-21T17:43:00Z</dcterms:created>
  <dcterms:modified xsi:type="dcterms:W3CDTF">2015-04-21T17:57:00Z</dcterms:modified>
</cp:coreProperties>
</file>