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3A0DE8">
      <w:pPr>
        <w:pStyle w:val="Style2"/>
        <w:widowControl/>
        <w:spacing w:line="240" w:lineRule="exact"/>
        <w:ind w:firstLine="725"/>
        <w:rPr>
          <w:sz w:val="20"/>
          <w:szCs w:val="20"/>
        </w:rPr>
      </w:pPr>
    </w:p>
    <w:p w:rsidR="002E76D9" w:rsidRDefault="002E76D9">
      <w:pPr>
        <w:pStyle w:val="Style2"/>
        <w:widowControl/>
        <w:spacing w:before="115" w:line="355" w:lineRule="exact"/>
        <w:ind w:firstLine="725"/>
        <w:rPr>
          <w:rStyle w:val="FontStyle13"/>
          <w:lang w:val="fr-FR" w:eastAsia="fr-FR"/>
        </w:rPr>
      </w:pPr>
    </w:p>
    <w:p w:rsidR="002E76D9" w:rsidRDefault="002E76D9">
      <w:pPr>
        <w:pStyle w:val="Style2"/>
        <w:widowControl/>
        <w:spacing w:before="115" w:line="355" w:lineRule="exact"/>
        <w:ind w:firstLine="725"/>
        <w:rPr>
          <w:rStyle w:val="FontStyle13"/>
          <w:lang w:val="fr-FR" w:eastAsia="fr-FR"/>
        </w:rPr>
      </w:pPr>
    </w:p>
    <w:p w:rsidR="00000000" w:rsidRDefault="003A0DE8">
      <w:pPr>
        <w:pStyle w:val="Style2"/>
        <w:widowControl/>
        <w:spacing w:before="115" w:line="355" w:lineRule="exact"/>
        <w:ind w:firstLine="725"/>
        <w:rPr>
          <w:rStyle w:val="FontStyle13"/>
          <w:lang w:val="fr-FR" w:eastAsia="fr-FR"/>
        </w:rPr>
      </w:pPr>
      <w:r>
        <w:rPr>
          <w:rStyle w:val="FontStyle13"/>
          <w:lang w:val="fr-FR" w:eastAsia="fr-FR"/>
        </w:rPr>
        <w:t>Da</w:t>
      </w:r>
      <w:r>
        <w:rPr>
          <w:rStyle w:val="FontStyle13"/>
          <w:lang w:val="fr-FR" w:eastAsia="fr-FR"/>
        </w:rPr>
        <w:t xml:space="preserve">ns le présent travail, nous nous proposons de synthétiser et caractériser une série de matériaux cristallins microporeux de type </w:t>
      </w:r>
      <w:r>
        <w:rPr>
          <w:rStyle w:val="FontStyle14"/>
          <w:lang w:val="fr-FR" w:eastAsia="fr-FR"/>
        </w:rPr>
        <w:t xml:space="preserve">AFI </w:t>
      </w:r>
      <w:r>
        <w:rPr>
          <w:rStyle w:val="FontStyle13"/>
          <w:lang w:val="fr-FR" w:eastAsia="fr-FR"/>
        </w:rPr>
        <w:t>(ALP0</w:t>
      </w:r>
      <w:r>
        <w:rPr>
          <w:rStyle w:val="FontStyle13"/>
          <w:vertAlign w:val="subscript"/>
          <w:lang w:val="fr-FR" w:eastAsia="fr-FR"/>
        </w:rPr>
        <w:t>4</w:t>
      </w:r>
      <w:r>
        <w:rPr>
          <w:rStyle w:val="FontStyle13"/>
          <w:lang w:val="fr-FR" w:eastAsia="fr-FR"/>
        </w:rPr>
        <w:t xml:space="preserve">-5, SAPO-5 et MAPO-5) , </w:t>
      </w:r>
      <w:r>
        <w:rPr>
          <w:rStyle w:val="FontStyle14"/>
          <w:lang w:val="fr-FR" w:eastAsia="fr-FR"/>
        </w:rPr>
        <w:t xml:space="preserve">AEL </w:t>
      </w:r>
      <w:r>
        <w:rPr>
          <w:rStyle w:val="FontStyle13"/>
          <w:lang w:val="fr-FR" w:eastAsia="fr-FR"/>
        </w:rPr>
        <w:t>(ALP0</w:t>
      </w:r>
      <w:r>
        <w:rPr>
          <w:rStyle w:val="FontStyle13"/>
          <w:vertAlign w:val="subscript"/>
          <w:lang w:val="fr-FR" w:eastAsia="fr-FR"/>
        </w:rPr>
        <w:t>4</w:t>
      </w:r>
      <w:r>
        <w:rPr>
          <w:rStyle w:val="FontStyle13"/>
          <w:lang w:val="fr-FR" w:eastAsia="fr-FR"/>
        </w:rPr>
        <w:t xml:space="preserve">-11, SAPO-11 et MAPO-11) et </w:t>
      </w:r>
      <w:r>
        <w:rPr>
          <w:rStyle w:val="FontStyle14"/>
          <w:lang w:val="fr-FR" w:eastAsia="fr-FR"/>
        </w:rPr>
        <w:t xml:space="preserve">CHA </w:t>
      </w:r>
      <w:r>
        <w:rPr>
          <w:rStyle w:val="FontStyle13"/>
          <w:lang w:val="fr-FR" w:eastAsia="fr-FR"/>
        </w:rPr>
        <w:t>(SAPO-34). Ces types de matériaux ont été synthétis</w:t>
      </w:r>
      <w:r>
        <w:rPr>
          <w:rStyle w:val="FontStyle13"/>
          <w:lang w:val="fr-FR" w:eastAsia="fr-FR"/>
        </w:rPr>
        <w:t>és par cristallisation hydrothermale de gels amorphes obtenus à partir de sources d'aluminium, de phosphore, de magnésium et de silice, en présence d'eau et de structurants organiques. La nucléation et la cristallisation se déroulent à l'intérieur d'un réa</w:t>
      </w:r>
      <w:r>
        <w:rPr>
          <w:rStyle w:val="FontStyle13"/>
          <w:lang w:val="fr-FR" w:eastAsia="fr-FR"/>
        </w:rPr>
        <w:t>cteur chemisé en Téflon. L'étude a porté essentiellement sur l'influence de certains paramètres physiques : temps de séjour température de cristallisation, agitation et paramètres chimiques</w:t>
      </w:r>
      <w:r w:rsidR="00594823">
        <w:rPr>
          <w:rStyle w:val="FontStyle13"/>
          <w:lang w:val="fr-FR" w:eastAsia="fr-FR"/>
        </w:rPr>
        <w:t xml:space="preserve"> </w:t>
      </w:r>
      <w:r>
        <w:rPr>
          <w:rStyle w:val="FontStyle13"/>
          <w:lang w:val="fr-FR" w:eastAsia="fr-FR"/>
        </w:rPr>
        <w:t>: choix des sources d'aluminium, de silice, des éléments de substit</w:t>
      </w:r>
      <w:r>
        <w:rPr>
          <w:rStyle w:val="FontStyle13"/>
          <w:lang w:val="fr-FR" w:eastAsia="fr-FR"/>
        </w:rPr>
        <w:t>ution isomorphique et du structurant organique.</w:t>
      </w:r>
    </w:p>
    <w:p w:rsidR="002E76D9" w:rsidRDefault="002E76D9" w:rsidP="00594823">
      <w:pPr>
        <w:pStyle w:val="Style2"/>
        <w:widowControl/>
        <w:spacing w:line="355" w:lineRule="exact"/>
        <w:ind w:firstLine="0"/>
        <w:rPr>
          <w:rStyle w:val="FontStyle13"/>
          <w:lang w:val="fr-FR" w:eastAsia="fr-FR"/>
        </w:rPr>
      </w:pPr>
    </w:p>
    <w:p w:rsidR="00000000" w:rsidRDefault="003A0DE8" w:rsidP="00594823">
      <w:pPr>
        <w:pStyle w:val="Style2"/>
        <w:widowControl/>
        <w:spacing w:line="355" w:lineRule="exact"/>
        <w:ind w:firstLine="0"/>
        <w:rPr>
          <w:rStyle w:val="FontStyle13"/>
          <w:lang w:val="fr-FR" w:eastAsia="fr-FR"/>
        </w:rPr>
      </w:pPr>
      <w:r>
        <w:rPr>
          <w:rStyle w:val="FontStyle13"/>
          <w:lang w:val="fr-FR" w:eastAsia="fr-FR"/>
        </w:rPr>
        <w:t xml:space="preserve">Les structures des matériaux obtenus ont été caractérisées à l'aide de plusieurs techniques, en particuliers la diffraction des rayons </w:t>
      </w:r>
      <w:r>
        <w:rPr>
          <w:rStyle w:val="FontStyle16"/>
          <w:lang w:val="fr-FR" w:eastAsia="fr-FR"/>
        </w:rPr>
        <w:t xml:space="preserve">X, </w:t>
      </w:r>
      <w:r>
        <w:rPr>
          <w:rStyle w:val="FontStyle13"/>
          <w:lang w:val="fr-FR" w:eastAsia="fr-FR"/>
        </w:rPr>
        <w:t>les</w:t>
      </w:r>
      <w:r w:rsidRPr="00594823">
        <w:rPr>
          <w:rStyle w:val="FontStyle13"/>
          <w:lang w:val="fr-FR" w:eastAsia="fr-FR"/>
        </w:rPr>
        <w:t xml:space="preserve"> microscopies </w:t>
      </w:r>
      <w:r>
        <w:rPr>
          <w:rStyle w:val="FontStyle13"/>
          <w:lang w:val="fr-FR" w:eastAsia="fr-FR"/>
        </w:rPr>
        <w:t>optique et électronique à bal</w:t>
      </w:r>
      <w:r>
        <w:rPr>
          <w:rStyle w:val="FontStyle13"/>
          <w:lang w:val="fr-FR" w:eastAsia="fr-FR"/>
        </w:rPr>
        <w:t xml:space="preserve">ayage, les analyses thermiques (T.G. et A.T.D.), la spectrométrie RMN-MAS des éléments </w:t>
      </w:r>
      <w:r w:rsidR="00594823">
        <w:rPr>
          <w:rStyle w:val="FontStyle13"/>
          <w:vertAlign w:val="superscript"/>
          <w:lang w:val="fr-FR" w:eastAsia="fr-FR"/>
        </w:rPr>
        <w:t>3</w:t>
      </w:r>
      <w:r>
        <w:rPr>
          <w:rStyle w:val="FontStyle13"/>
          <w:vertAlign w:val="superscript"/>
          <w:lang w:val="fr-FR" w:eastAsia="fr-FR"/>
        </w:rPr>
        <w:t>l</w:t>
      </w:r>
      <w:r>
        <w:rPr>
          <w:rStyle w:val="FontStyle13"/>
          <w:lang w:val="fr-FR" w:eastAsia="fr-FR"/>
        </w:rPr>
        <w:t xml:space="preserve">P, et </w:t>
      </w:r>
      <w:r>
        <w:rPr>
          <w:rStyle w:val="FontStyle13"/>
          <w:vertAlign w:val="superscript"/>
          <w:lang w:val="fr-FR" w:eastAsia="fr-FR"/>
        </w:rPr>
        <w:t>27</w:t>
      </w:r>
      <w:r>
        <w:rPr>
          <w:rStyle w:val="FontStyle13"/>
          <w:lang w:val="fr-FR" w:eastAsia="fr-FR"/>
        </w:rPr>
        <w:t xml:space="preserve">A1, la spectrométrie F.T.I.R., la microanalyse élémentaire par la torche à plasma et microsonde électronique ainsi que la mesure d'acidité par thermodésorption </w:t>
      </w:r>
      <w:r>
        <w:rPr>
          <w:rStyle w:val="FontStyle13"/>
          <w:lang w:val="fr-FR" w:eastAsia="fr-FR"/>
        </w:rPr>
        <w:t xml:space="preserve">par palier de l'ammoniac </w:t>
      </w:r>
      <w:r>
        <w:rPr>
          <w:rStyle w:val="FontStyle16"/>
          <w:lang w:val="fr-FR" w:eastAsia="fr-FR"/>
        </w:rPr>
        <w:t>(NH3-</w:t>
      </w:r>
      <w:r>
        <w:rPr>
          <w:rStyle w:val="FontStyle13"/>
          <w:lang w:val="fr-FR" w:eastAsia="fr-FR"/>
        </w:rPr>
        <w:t>STD).</w:t>
      </w:r>
    </w:p>
    <w:p w:rsidR="002E76D9" w:rsidRDefault="002E76D9" w:rsidP="00594823">
      <w:pPr>
        <w:pStyle w:val="Style2"/>
        <w:widowControl/>
        <w:spacing w:before="125" w:line="355" w:lineRule="exact"/>
        <w:ind w:firstLine="0"/>
        <w:rPr>
          <w:rStyle w:val="FontStyle13"/>
          <w:lang w:val="fr-FR" w:eastAsia="fr-FR"/>
        </w:rPr>
      </w:pPr>
    </w:p>
    <w:p w:rsidR="00594823" w:rsidRDefault="003A0DE8" w:rsidP="00594823">
      <w:pPr>
        <w:pStyle w:val="Style2"/>
        <w:widowControl/>
        <w:spacing w:before="125" w:line="355" w:lineRule="exact"/>
        <w:ind w:firstLine="0"/>
        <w:rPr>
          <w:rStyle w:val="FontStyle13"/>
          <w:lang w:val="fr-FR" w:eastAsia="fr-FR"/>
        </w:rPr>
      </w:pPr>
      <w:r>
        <w:rPr>
          <w:rStyle w:val="FontStyle13"/>
          <w:lang w:val="fr-FR" w:eastAsia="fr-FR"/>
        </w:rPr>
        <w:t>Les résultats ont fait ressortir que l'utilisation de la morpholine comme agent structurant favorise l'incorporation du silicium dans la charpente et augmente l'acidité de surface de cette structure.</w:t>
      </w:r>
    </w:p>
    <w:sectPr w:rsidR="00594823">
      <w:footerReference w:type="default" r:id="rId6"/>
      <w:footerReference w:type="first" r:id="rId7"/>
      <w:pgSz w:w="11905" w:h="16837"/>
      <w:pgMar w:top="1457" w:right="1875" w:bottom="1440" w:left="1553" w:header="720" w:footer="720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0DE8" w:rsidRDefault="003A0DE8">
      <w:r>
        <w:separator/>
      </w:r>
    </w:p>
  </w:endnote>
  <w:endnote w:type="continuationSeparator" w:id="1">
    <w:p w:rsidR="003A0DE8" w:rsidRDefault="003A0D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3A0DE8">
    <w:pPr>
      <w:widowControl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3A0DE8">
    <w:pPr>
      <w:pStyle w:val="Style3"/>
      <w:widowControl/>
      <w:ind w:left="4219"/>
      <w:jc w:val="both"/>
      <w:rPr>
        <w:rStyle w:val="FontStyle15"/>
      </w:rPr>
    </w:pPr>
    <w:r>
      <w:rPr>
        <w:rStyle w:val="FontStyle15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0DE8" w:rsidRDefault="003A0DE8">
      <w:r>
        <w:separator/>
      </w:r>
    </w:p>
  </w:footnote>
  <w:footnote w:type="continuationSeparator" w:id="1">
    <w:p w:rsidR="003A0DE8" w:rsidRDefault="003A0DE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adjustLineHeightInTable/>
    <w:useFELayout/>
  </w:compat>
  <w:rsids>
    <w:rsidRoot w:val="00594823"/>
    <w:rsid w:val="002E76D9"/>
    <w:rsid w:val="003A0DE8"/>
    <w:rsid w:val="005948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ngsana New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Angsana New" w:cs="Times New Roman"/>
      <w:sz w:val="24"/>
      <w:szCs w:val="24"/>
    </w:rPr>
  </w:style>
  <w:style w:type="character" w:default="1" w:styleId="Policepardfaut">
    <w:name w:val="Default Paragraph Font"/>
    <w:uiPriority w:val="99"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1">
    <w:name w:val="Style1"/>
    <w:basedOn w:val="Normal"/>
    <w:uiPriority w:val="99"/>
  </w:style>
  <w:style w:type="paragraph" w:customStyle="1" w:styleId="Style2">
    <w:name w:val="Style2"/>
    <w:basedOn w:val="Normal"/>
    <w:uiPriority w:val="99"/>
    <w:pPr>
      <w:spacing w:line="358" w:lineRule="exact"/>
      <w:ind w:firstLine="720"/>
      <w:jc w:val="both"/>
    </w:pPr>
  </w:style>
  <w:style w:type="paragraph" w:customStyle="1" w:styleId="Style3">
    <w:name w:val="Style3"/>
    <w:basedOn w:val="Normal"/>
    <w:uiPriority w:val="99"/>
  </w:style>
  <w:style w:type="character" w:customStyle="1" w:styleId="FontStyle11">
    <w:name w:val="Font Style11"/>
    <w:basedOn w:val="Policepardfaut"/>
    <w:uiPriority w:val="99"/>
    <w:rPr>
      <w:rFonts w:ascii="Angsana New" w:hAnsi="Angsana New" w:cs="Angsana New"/>
      <w:b/>
      <w:bCs/>
      <w:sz w:val="46"/>
      <w:szCs w:val="46"/>
      <w:lang w:bidi="ar-SA"/>
    </w:rPr>
  </w:style>
  <w:style w:type="character" w:customStyle="1" w:styleId="FontStyle12">
    <w:name w:val="Font Style12"/>
    <w:basedOn w:val="Policepardfaut"/>
    <w:uiPriority w:val="99"/>
    <w:rPr>
      <w:rFonts w:ascii="Angsana New" w:hAnsi="Angsana New" w:cs="Angsana New"/>
      <w:b/>
      <w:bCs/>
      <w:i/>
      <w:iCs/>
      <w:spacing w:val="10"/>
      <w:sz w:val="30"/>
      <w:szCs w:val="30"/>
      <w:lang w:bidi="ar-SA"/>
    </w:rPr>
  </w:style>
  <w:style w:type="character" w:customStyle="1" w:styleId="FontStyle13">
    <w:name w:val="Font Style13"/>
    <w:basedOn w:val="Policepardfaut"/>
    <w:uiPriority w:val="99"/>
    <w:rPr>
      <w:rFonts w:ascii="Angsana New" w:hAnsi="Angsana New" w:cs="Angsana New"/>
      <w:sz w:val="36"/>
      <w:szCs w:val="36"/>
      <w:lang w:bidi="ar-SA"/>
    </w:rPr>
  </w:style>
  <w:style w:type="character" w:customStyle="1" w:styleId="FontStyle14">
    <w:name w:val="Font Style14"/>
    <w:basedOn w:val="Policepardfaut"/>
    <w:uiPriority w:val="99"/>
    <w:rPr>
      <w:rFonts w:ascii="Angsana New" w:hAnsi="Angsana New" w:cs="Angsana New"/>
      <w:b/>
      <w:bCs/>
      <w:sz w:val="36"/>
      <w:szCs w:val="36"/>
      <w:lang w:bidi="ar-SA"/>
    </w:rPr>
  </w:style>
  <w:style w:type="character" w:customStyle="1" w:styleId="FontStyle15">
    <w:name w:val="Font Style15"/>
    <w:basedOn w:val="Policepardfaut"/>
    <w:uiPriority w:val="99"/>
    <w:rPr>
      <w:rFonts w:ascii="Angsana New" w:hAnsi="Angsana New" w:cs="Angsana New"/>
      <w:sz w:val="28"/>
      <w:szCs w:val="28"/>
      <w:lang w:bidi="ar-SA"/>
    </w:rPr>
  </w:style>
  <w:style w:type="character" w:customStyle="1" w:styleId="FontStyle16">
    <w:name w:val="Font Style16"/>
    <w:basedOn w:val="Policepardfaut"/>
    <w:uiPriority w:val="99"/>
    <w:rPr>
      <w:rFonts w:ascii="Georgia" w:hAnsi="Georgia" w:cs="Georgia"/>
      <w:sz w:val="22"/>
      <w:szCs w:val="22"/>
      <w:lang w:bidi="ar-SA"/>
    </w:rPr>
  </w:style>
  <w:style w:type="character" w:styleId="Lienhypertexte">
    <w:name w:val="Hyperlink"/>
    <w:basedOn w:val="Policepardfaut"/>
    <w:uiPriority w:val="99"/>
    <w:rPr>
      <w:color w:val="0066CC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224</Words>
  <Characters>1277</Characters>
  <Application>Microsoft Office Word</Application>
  <DocSecurity>0</DocSecurity>
  <Lines>10</Lines>
  <Paragraphs>2</Paragraphs>
  <ScaleCrop>false</ScaleCrop>
  <Company/>
  <LinksUpToDate>false</LinksUpToDate>
  <CharactersWithSpaces>1499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3</cp:revision>
  <dcterms:created xsi:type="dcterms:W3CDTF">2017-01-18T12:36:00Z</dcterms:created>
  <dcterms:modified xsi:type="dcterms:W3CDTF">2017-01-18T12:41:00Z</dcterms:modified>
</cp:coreProperties>
</file>