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69B" w:rsidRPr="00347F1D" w:rsidRDefault="00F0569B" w:rsidP="00F0569B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347F1D">
        <w:rPr>
          <w:rFonts w:ascii="Times New Roman" w:hAnsi="Times New Roman" w:cs="Times New Roman"/>
          <w:b/>
          <w:bCs/>
          <w:sz w:val="32"/>
          <w:szCs w:val="32"/>
        </w:rPr>
        <w:t>Résumé</w:t>
      </w:r>
    </w:p>
    <w:p w:rsidR="00B223CE" w:rsidRDefault="00F0569B" w:rsidP="00B22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   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 </w:t>
      </w:r>
      <w:r w:rsidRPr="00624B3B">
        <w:rPr>
          <w:rFonts w:ascii="Times New Roman" w:hAnsi="Times New Roman" w:cs="Times New Roman"/>
          <w:bCs/>
          <w:color w:val="000000"/>
          <w:sz w:val="24"/>
          <w:szCs w:val="24"/>
        </w:rPr>
        <w:t>L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e locus DFNB1 localisé en 13q</w:t>
      </w:r>
      <w:r w:rsidRPr="00624B3B">
        <w:rPr>
          <w:rFonts w:ascii="Times New Roman" w:hAnsi="Times New Roman" w:cs="Times New Roman"/>
          <w:bCs/>
          <w:color w:val="000000"/>
          <w:sz w:val="24"/>
          <w:szCs w:val="24"/>
        </w:rPr>
        <w:t>12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-11 </w:t>
      </w:r>
      <w:r w:rsidRPr="00624B3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comprend deux gènes </w:t>
      </w:r>
      <w:r w:rsidRPr="00624B3B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 xml:space="preserve">GJB2 </w:t>
      </w:r>
      <w:r w:rsidRPr="00624B3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et </w:t>
      </w:r>
      <w:r w:rsidRPr="00624B3B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>GJB6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44D93">
        <w:rPr>
          <w:rFonts w:ascii="Times New Roman" w:hAnsi="Times New Roman" w:cs="Times New Roman"/>
          <w:sz w:val="24"/>
          <w:szCs w:val="24"/>
        </w:rPr>
        <w:t>codant</w:t>
      </w:r>
      <w:r>
        <w:rPr>
          <w:rFonts w:ascii="Times New Roman" w:hAnsi="Times New Roman" w:cs="Times New Roman"/>
          <w:sz w:val="24"/>
          <w:szCs w:val="24"/>
        </w:rPr>
        <w:t xml:space="preserve"> pour deux protéines de jonction qui sont respectivement </w:t>
      </w:r>
      <w:r w:rsidRPr="00144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connexine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26 et la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connexine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30</w:t>
      </w:r>
      <w:r w:rsidRPr="00624B3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 qui ont un rôle dans le recyclage de K+ au niveau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des cellules non sensorielles.</w:t>
      </w:r>
    </w:p>
    <w:p w:rsidR="00F0569B" w:rsidRPr="00B223CE" w:rsidRDefault="00B223CE" w:rsidP="00B22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F0569B">
        <w:rPr>
          <w:rFonts w:ascii="Times New Roman" w:hAnsi="Times New Roman" w:cs="Times New Roman"/>
          <w:sz w:val="24"/>
          <w:szCs w:val="24"/>
        </w:rPr>
        <w:t xml:space="preserve"> </w:t>
      </w:r>
      <w:r w:rsidR="00F0569B" w:rsidRPr="00C13E43">
        <w:rPr>
          <w:rFonts w:ascii="Times New Roman" w:hAnsi="Times New Roman" w:cs="Times New Roman"/>
          <w:sz w:val="24"/>
          <w:szCs w:val="24"/>
        </w:rPr>
        <w:t>Le but de notre travail est de rechercher les différentes mutations du locus DFNB1 impliquées dans</w:t>
      </w:r>
      <w:r w:rsidR="00F0569B">
        <w:rPr>
          <w:rFonts w:ascii="Times New Roman" w:hAnsi="Times New Roman" w:cs="Times New Roman"/>
          <w:sz w:val="24"/>
          <w:szCs w:val="24"/>
        </w:rPr>
        <w:t xml:space="preserve"> les</w:t>
      </w:r>
      <w:r w:rsidR="00F0569B" w:rsidRPr="00C13E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surdités non syndromiques</w:t>
      </w:r>
      <w:r w:rsidR="00F0569B">
        <w:rPr>
          <w:rFonts w:ascii="Times New Roman" w:hAnsi="Times New Roman" w:cs="Times New Roman"/>
          <w:sz w:val="24"/>
          <w:szCs w:val="24"/>
        </w:rPr>
        <w:t xml:space="preserve"> </w:t>
      </w:r>
      <w:r w:rsidR="00F0569B" w:rsidRPr="00C13E43">
        <w:rPr>
          <w:rFonts w:ascii="Times New Roman" w:hAnsi="Times New Roman" w:cs="Times New Roman"/>
          <w:sz w:val="24"/>
          <w:szCs w:val="24"/>
        </w:rPr>
        <w:t xml:space="preserve">chez </w:t>
      </w:r>
      <w:r w:rsidR="00F0569B">
        <w:rPr>
          <w:rFonts w:ascii="Times New Roman" w:hAnsi="Times New Roman" w:cs="Times New Roman"/>
          <w:sz w:val="24"/>
          <w:szCs w:val="24"/>
        </w:rPr>
        <w:t xml:space="preserve">26 familles algériennes et 9 enfants atteints provenant de la région de </w:t>
      </w:r>
      <w:proofErr w:type="spellStart"/>
      <w:r w:rsidR="00F0569B">
        <w:rPr>
          <w:rFonts w:ascii="Times New Roman" w:hAnsi="Times New Roman" w:cs="Times New Roman"/>
          <w:sz w:val="24"/>
          <w:szCs w:val="24"/>
        </w:rPr>
        <w:t>Reggane</w:t>
      </w:r>
      <w:proofErr w:type="spellEnd"/>
      <w:r w:rsidR="00F0569B">
        <w:rPr>
          <w:rFonts w:ascii="Times New Roman" w:hAnsi="Times New Roman" w:cs="Times New Roman"/>
          <w:sz w:val="24"/>
          <w:szCs w:val="24"/>
        </w:rPr>
        <w:t>.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>L’ADN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génomique est analysé  par la méthode PSDM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>afin de rechercher la mutation c.35delG. L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>e séquençage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automatique est réalisé</w:t>
      </w:r>
      <w:r w:rsidR="00F0569B">
        <w:rPr>
          <w:rFonts w:ascii="Times New Roman" w:hAnsi="Times New Roman" w:cs="Times New Roman"/>
          <w:color w:val="000000"/>
          <w:sz w:val="24"/>
          <w:szCs w:val="24"/>
        </w:rPr>
        <w:t xml:space="preserve"> au niveau 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>d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e l’exon 2 </w:t>
      </w:r>
      <w:r w:rsidR="00F0569B">
        <w:rPr>
          <w:rFonts w:ascii="Times New Roman" w:hAnsi="Times New Roman" w:cs="Times New Roman"/>
          <w:color w:val="000000"/>
          <w:sz w:val="24"/>
          <w:szCs w:val="24"/>
        </w:rPr>
        <w:t xml:space="preserve">du gène </w:t>
      </w:r>
      <w:r w:rsidR="00F0569B" w:rsidRPr="00624B3B">
        <w:rPr>
          <w:rFonts w:ascii="Times New Roman" w:hAnsi="Times New Roman" w:cs="Times New Roman"/>
          <w:i/>
          <w:iCs/>
          <w:color w:val="000000"/>
          <w:sz w:val="24"/>
          <w:szCs w:val="24"/>
        </w:rPr>
        <w:t>GJB2</w:t>
      </w:r>
      <w:r w:rsidR="00F0569B">
        <w:rPr>
          <w:rFonts w:ascii="Times New Roman" w:hAnsi="Times New Roman" w:cs="Times New Roman"/>
          <w:color w:val="000000"/>
          <w:sz w:val="24"/>
          <w:szCs w:val="24"/>
        </w:rPr>
        <w:t xml:space="preserve"> pour rechercher d’autres mutations que la c.35delG. Nous avons également recherché la mutation d’épissage c.IVS1</w:t>
      </w:r>
      <w:r w:rsidR="00F0569B" w:rsidRPr="001E3E90">
        <w:rPr>
          <w:rFonts w:ascii="Times New Roman" w:hAnsi="Times New Roman" w:cs="Times New Roman"/>
          <w:sz w:val="24"/>
          <w:szCs w:val="24"/>
        </w:rPr>
        <w:t>+</w:t>
      </w:r>
      <w:r w:rsidR="00F0569B">
        <w:rPr>
          <w:rFonts w:ascii="Times New Roman" w:hAnsi="Times New Roman" w:cs="Times New Roman"/>
          <w:color w:val="000000"/>
          <w:sz w:val="24"/>
          <w:szCs w:val="24"/>
        </w:rPr>
        <w:t xml:space="preserve">1G&gt;A de l’exon 1 du gène </w:t>
      </w:r>
      <w:r w:rsidR="00F0569B" w:rsidRPr="00D26A01">
        <w:rPr>
          <w:rFonts w:ascii="Times New Roman" w:hAnsi="Times New Roman" w:cs="Times New Roman"/>
          <w:i/>
          <w:iCs/>
          <w:color w:val="000000"/>
          <w:sz w:val="24"/>
          <w:szCs w:val="24"/>
        </w:rPr>
        <w:t>GJB2</w:t>
      </w:r>
      <w:r w:rsidR="00F0569B">
        <w:rPr>
          <w:rFonts w:ascii="Times New Roman" w:hAnsi="Times New Roman" w:cs="Times New Roman"/>
          <w:color w:val="000000"/>
          <w:sz w:val="24"/>
          <w:szCs w:val="24"/>
        </w:rPr>
        <w:t xml:space="preserve">  en appliquant la PCR-RFLP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et les 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deux délétions du gène </w:t>
      </w:r>
      <w:r w:rsidRPr="005B00B0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 xml:space="preserve">GJB6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>par PCR multiplexe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La mutation c.35delG est observée à l’état homozygote chez </w:t>
      </w:r>
      <w:r w:rsidR="00F0569B" w:rsidRPr="00F871F1">
        <w:rPr>
          <w:rFonts w:ascii="Times New Roman" w:hAnsi="Times New Roman" w:cs="Times New Roman"/>
          <w:bCs/>
          <w:sz w:val="24"/>
          <w:szCs w:val="24"/>
        </w:rPr>
        <w:t>7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familles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(26,92%) et parmi les enfants de </w:t>
      </w:r>
      <w:proofErr w:type="spellStart"/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>Reggane</w:t>
      </w:r>
      <w:proofErr w:type="spellEnd"/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>, un enfant présente cette mutation à l’état homozygote et un autre à l’état hétérozygote.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La mutation E47X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de l’exon 2 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est 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détectée 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chez une famille. 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La mutation d’épissage c.IVS1+1G&gt;A de l’exon 1 ainsi que les 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>de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>ux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délétions 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au niveau 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du gène </w:t>
      </w:r>
      <w:r w:rsidR="00F0569B" w:rsidRPr="00827118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>GJB6</w:t>
      </w:r>
      <w:r w:rsidR="00F0569B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 xml:space="preserve"> </w:t>
      </w:r>
      <w:r w:rsidR="00F0569B" w:rsidRPr="00D26A01">
        <w:rPr>
          <w:rFonts w:ascii="Times New Roman" w:hAnsi="Times New Roman" w:cs="Times New Roman"/>
          <w:bCs/>
          <w:color w:val="000000"/>
          <w:sz w:val="24"/>
          <w:szCs w:val="24"/>
        </w:rPr>
        <w:t>n’ont pas été détecté</w:t>
      </w:r>
      <w:r w:rsidR="00F0569B">
        <w:rPr>
          <w:rFonts w:ascii="Times New Roman" w:hAnsi="Times New Roman" w:cs="Times New Roman"/>
          <w:bCs/>
          <w:color w:val="000000"/>
          <w:sz w:val="24"/>
          <w:szCs w:val="24"/>
        </w:rPr>
        <w:t>e</w:t>
      </w:r>
      <w:r w:rsidR="00F0569B" w:rsidRPr="00D26A01">
        <w:rPr>
          <w:rFonts w:ascii="Times New Roman" w:hAnsi="Times New Roman" w:cs="Times New Roman"/>
          <w:bCs/>
          <w:color w:val="000000"/>
          <w:sz w:val="24"/>
          <w:szCs w:val="24"/>
        </w:rPr>
        <w:t>s</w:t>
      </w:r>
      <w:r w:rsidR="00F0569B" w:rsidRPr="00827118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>.</w:t>
      </w:r>
      <w:r w:rsidR="00F0569B" w:rsidRPr="003F5E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F0569B" w:rsidRPr="005F4482" w:rsidRDefault="00F0569B" w:rsidP="00F0569B">
      <w:pPr>
        <w:autoSpaceDE w:val="0"/>
        <w:autoSpaceDN w:val="0"/>
        <w:adjustRightInd w:val="0"/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3C08F7">
        <w:rPr>
          <w:rFonts w:ascii="Times New Roman" w:hAnsi="Times New Roman" w:cs="Times New Roman"/>
          <w:sz w:val="24"/>
          <w:szCs w:val="24"/>
        </w:rPr>
        <w:t>Ce travail souligne l’intérêt de la</w:t>
      </w:r>
      <w:r>
        <w:rPr>
          <w:rFonts w:ascii="Times New Roman" w:hAnsi="Times New Roman" w:cs="Times New Roman"/>
          <w:sz w:val="24"/>
          <w:szCs w:val="24"/>
        </w:rPr>
        <w:t xml:space="preserve"> recherche systématique de ces</w:t>
      </w:r>
      <w:r w:rsidRPr="003C08F7">
        <w:rPr>
          <w:rFonts w:ascii="Times New Roman" w:hAnsi="Times New Roman" w:cs="Times New Roman"/>
          <w:sz w:val="24"/>
          <w:szCs w:val="24"/>
        </w:rPr>
        <w:t xml:space="preserve"> mutation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3C08F7">
        <w:rPr>
          <w:rFonts w:ascii="Times New Roman" w:hAnsi="Times New Roman" w:cs="Times New Roman"/>
          <w:sz w:val="24"/>
          <w:szCs w:val="24"/>
        </w:rPr>
        <w:t>, chez les enfants sourds en l’absence de causes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C08F7">
        <w:rPr>
          <w:rFonts w:ascii="Times New Roman" w:hAnsi="Times New Roman" w:cs="Times New Roman"/>
          <w:sz w:val="24"/>
          <w:szCs w:val="24"/>
        </w:rPr>
        <w:t>environnementales certaines. L’</w:t>
      </w:r>
      <w:r>
        <w:rPr>
          <w:rFonts w:ascii="Times New Roman" w:hAnsi="Times New Roman" w:cs="Times New Roman"/>
          <w:sz w:val="24"/>
          <w:szCs w:val="24"/>
        </w:rPr>
        <w:t>identification de ces</w:t>
      </w:r>
      <w:r w:rsidRPr="003C08F7">
        <w:rPr>
          <w:rFonts w:ascii="Times New Roman" w:hAnsi="Times New Roman" w:cs="Times New Roman"/>
          <w:sz w:val="24"/>
          <w:szCs w:val="24"/>
        </w:rPr>
        <w:t xml:space="preserve"> anomalies génétiques signe le diagnostic de la cause de la surdité, ce qui permet un conseil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C08F7">
        <w:rPr>
          <w:rFonts w:ascii="Times New Roman" w:hAnsi="Times New Roman" w:cs="Times New Roman"/>
          <w:sz w:val="24"/>
          <w:szCs w:val="24"/>
        </w:rPr>
        <w:t>génétique adéquat, et une meilleure prise en charge des patients.</w:t>
      </w:r>
    </w:p>
    <w:p w:rsidR="00F0569B" w:rsidRPr="00827118" w:rsidRDefault="00F0569B" w:rsidP="00F0569B">
      <w:pPr>
        <w:spacing w:after="36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0910DE">
        <w:rPr>
          <w:bCs/>
          <w:i/>
          <w:iCs/>
          <w:color w:val="000000"/>
        </w:rPr>
        <w:t xml:space="preserve"> </w:t>
      </w:r>
      <w:r w:rsidRPr="000910DE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>Mots clés</w:t>
      </w:r>
      <w:r w:rsidRPr="00827118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 :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Algérie, </w:t>
      </w:r>
      <w:r w:rsidRPr="00827118">
        <w:rPr>
          <w:rFonts w:ascii="Times New Roman" w:hAnsi="Times New Roman" w:cs="Times New Roman"/>
          <w:bCs/>
          <w:color w:val="000000"/>
          <w:sz w:val="24"/>
          <w:szCs w:val="24"/>
        </w:rPr>
        <w:t>surdité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 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Connexine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26,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connexine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30, </w:t>
      </w:r>
      <w:r w:rsidRPr="00347F1D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>GJB2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</w:t>
      </w:r>
      <w:r w:rsidRPr="00347F1D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>GJB6</w:t>
      </w:r>
      <w:r w:rsidRPr="00347F1D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 xml:space="preserve"> </w:t>
      </w:r>
      <w:r w:rsidRPr="00827118">
        <w:rPr>
          <w:rFonts w:ascii="Times New Roman" w:hAnsi="Times New Roman" w:cs="Times New Roman"/>
          <w:bCs/>
          <w:color w:val="000000"/>
          <w:sz w:val="24"/>
          <w:szCs w:val="24"/>
        </w:rPr>
        <w:t>c.35delG</w:t>
      </w:r>
    </w:p>
    <w:p w:rsidR="00084CF9" w:rsidRDefault="00084CF9"/>
    <w:sectPr w:rsidR="00084CF9" w:rsidSect="00084CF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F0569B"/>
    <w:rsid w:val="00084CF9"/>
    <w:rsid w:val="00355D93"/>
    <w:rsid w:val="005775CE"/>
    <w:rsid w:val="0069330F"/>
    <w:rsid w:val="00732E27"/>
    <w:rsid w:val="00880286"/>
    <w:rsid w:val="00A71C3C"/>
    <w:rsid w:val="00B223CE"/>
    <w:rsid w:val="00C226A0"/>
    <w:rsid w:val="00F0569B"/>
    <w:rsid w:val="00FD2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69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260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oci</dc:creator>
  <cp:lastModifiedBy>oci</cp:lastModifiedBy>
  <cp:revision>1</cp:revision>
  <dcterms:created xsi:type="dcterms:W3CDTF">2012-11-09T08:11:00Z</dcterms:created>
  <dcterms:modified xsi:type="dcterms:W3CDTF">2012-11-09T08:28:00Z</dcterms:modified>
</cp:coreProperties>
</file>