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C0726" w:rsidRPr="00AC0726" w:rsidRDefault="00AC0726" w:rsidP="00AC0726">
      <w:pPr>
        <w:bidi w:val="0"/>
        <w:rPr>
          <w:lang w:val="fr-FR" w:bidi="ar-DZ"/>
        </w:rPr>
      </w:pPr>
      <w:r w:rsidRPr="00AC0726">
        <w:rPr>
          <w:lang w:val="fr-FR" w:bidi="ar-DZ"/>
        </w:rPr>
        <w:t xml:space="preserve">Dans ce mémoire, nous nous intéressons à l'étude du champ magnétique généré par les hétérogénéités d'aimantation des roches de la lithosphère. Ce champ est appelé champ d'anomalies lithosphériques. Pour atteindre cet objectif, nous exploitons les données scalaires et vectorielles collectées, entre le 15 juillet 2000 et 19 septembre 2010 par le satellite allemand CHAMP (CHAllenging Minisatellite Payload). La fréquence d'échantillonnage du champ était de 1 Hz et à une  altitude initiale de l'ordre de 450 km afin de permettre une cartographie globale de très haute résolution. </w:t>
      </w:r>
    </w:p>
    <w:p w:rsidR="00AC0726" w:rsidRPr="00AC0726" w:rsidRDefault="00AC0726" w:rsidP="00AC0726">
      <w:pPr>
        <w:bidi w:val="0"/>
        <w:rPr>
          <w:lang w:val="fr-FR" w:bidi="ar-DZ"/>
        </w:rPr>
      </w:pPr>
      <w:r w:rsidRPr="00AC0726">
        <w:rPr>
          <w:lang w:val="fr-FR" w:bidi="ar-DZ"/>
        </w:rPr>
        <w:t>La détermination de l'isotherme de Curie et donc de l'épaisseur de la couche aimantée donnera des informations pertinentes de l'histoire thermique d'une région donnée, dans ce travail nous avons choisis le Hoggar. L'analyse de ce champ d'anomalies et sa modélisation permettront d'améliorer notre connaissance de cette province dans le cadre de l'évolution tectonique de l'Archéen au Panafricain.</w:t>
      </w:r>
    </w:p>
    <w:p w:rsidR="008B7CFF" w:rsidRPr="00AC0726" w:rsidRDefault="00AC0726" w:rsidP="00AC0726">
      <w:pPr>
        <w:bidi w:val="0"/>
        <w:rPr>
          <w:rFonts w:hint="cs"/>
          <w:lang w:val="fr-FR" w:bidi="ar-DZ"/>
        </w:rPr>
      </w:pPr>
      <w:r w:rsidRPr="00AC0726">
        <w:rPr>
          <w:lang w:val="fr-FR" w:bidi="ar-DZ"/>
        </w:rPr>
        <w:t>Dans une première phase, nous avons modélisé le champ normal généré par le noyau en utilisant la décomposition classique de Gauss en harmoniques sphériques. L'influence du champ magnétique externe d'origine ionosphérique a été réduite en ne gardant que les données nuit et lorsque l'activité magnétique est faible indice (Kp&lt;2+). Le champ magnétosphérique a quant a lui été modélisé en harmoniques sphériques. Le champ interne est décomposé jusqu'aux degré et ordre 16 alors que le champ externe jusqu'aux degré et ordre 2. L'inversion simultanée des données scalaires et vectorielles par la méthode des moindres-carrés généralisés est réalisée en utilisant des ensembles de 3 mois de mesures. Dans une seconde phase, le champ d'anomalies est calculé en soustrayant les champs des modèles aux mesures. Les résultats obtenus sont très encourageants.</w:t>
      </w:r>
    </w:p>
    <w:sectPr w:rsidR="008B7CFF" w:rsidRPr="00AC0726"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AC0726"/>
    <w:rsid w:val="006D5754"/>
    <w:rsid w:val="008B7CFF"/>
    <w:rsid w:val="00AC0726"/>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7CF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272</Words>
  <Characters>1555</Characters>
  <Application>Microsoft Office Word</Application>
  <DocSecurity>0</DocSecurity>
  <Lines>12</Lines>
  <Paragraphs>3</Paragraphs>
  <ScaleCrop>false</ScaleCrop>
  <Company/>
  <LinksUpToDate>false</LinksUpToDate>
  <CharactersWithSpaces>1824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2015-01-08T13:48:00Z</dcterms:created>
  <dcterms:modified xsi:type="dcterms:W3CDTF">2015-01-08T13:48:00Z</dcterms:modified>
</cp:coreProperties>
</file>