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B1E" w:rsidRDefault="00551B1E" w:rsidP="00551B1E">
      <w:pPr>
        <w:rPr>
          <w:rFonts w:ascii="Calibri" w:hAnsi="Calibri" w:cs="Calibri"/>
        </w:rPr>
      </w:pPr>
      <w:r>
        <w:rPr>
          <w:rFonts w:ascii="Calibri" w:hAnsi="Calibri" w:cs="Calibri"/>
          <w:b/>
          <w:bCs/>
          <w:w w:val="105"/>
        </w:rPr>
        <w:t>Résumé</w:t>
      </w:r>
    </w:p>
    <w:p w:rsidR="00551B1E" w:rsidRDefault="00551B1E" w:rsidP="00551B1E">
      <w:pPr>
        <w:spacing w:before="216" w:line="360" w:lineRule="auto"/>
        <w:jc w:val="both"/>
        <w:rPr>
          <w:rFonts w:ascii="Calibri" w:hAnsi="Calibri" w:cs="Calibri"/>
          <w:spacing w:val="-4"/>
          <w:w w:val="105"/>
        </w:rPr>
      </w:pPr>
      <w:r>
        <w:rPr>
          <w:rFonts w:ascii="Calibri" w:hAnsi="Calibri" w:cs="Calibri"/>
          <w:spacing w:val="3"/>
          <w:w w:val="105"/>
        </w:rPr>
        <w:t xml:space="preserve">La dyslipidémie est un trouble du métabolisme des lipoprotéines directement lié à </w:t>
      </w:r>
      <w:r>
        <w:rPr>
          <w:rFonts w:ascii="Calibri" w:hAnsi="Calibri" w:cs="Calibri"/>
          <w:spacing w:val="-2"/>
          <w:w w:val="105"/>
        </w:rPr>
        <w:t xml:space="preserve">l'hyperglycémie, à la résistance à l'insuline et à l’athérosclérose. Différentes molécules </w:t>
      </w:r>
      <w:r>
        <w:rPr>
          <w:rFonts w:ascii="Calibri" w:hAnsi="Calibri" w:cs="Calibri"/>
          <w:spacing w:val="3"/>
          <w:w w:val="105"/>
        </w:rPr>
        <w:t xml:space="preserve">impliquées dans la pathogenèse de l'athérosclérose peuvent prédire l’impact de la </w:t>
      </w:r>
      <w:r>
        <w:rPr>
          <w:rFonts w:ascii="Calibri" w:hAnsi="Calibri" w:cs="Calibri"/>
          <w:spacing w:val="-4"/>
          <w:w w:val="105"/>
        </w:rPr>
        <w:t xml:space="preserve">dyslipidémie sur la paroi vasculaire. L’addition d’un nouveau et robuste </w:t>
      </w:r>
      <w:proofErr w:type="spellStart"/>
      <w:r>
        <w:rPr>
          <w:rFonts w:ascii="Calibri" w:hAnsi="Calibri" w:cs="Calibri"/>
          <w:spacing w:val="-4"/>
          <w:w w:val="105"/>
        </w:rPr>
        <w:t>biomarqueur</w:t>
      </w:r>
      <w:proofErr w:type="spellEnd"/>
      <w:r>
        <w:rPr>
          <w:rFonts w:ascii="Calibri" w:hAnsi="Calibri" w:cs="Calibri"/>
          <w:spacing w:val="-4"/>
          <w:w w:val="105"/>
        </w:rPr>
        <w:t xml:space="preserve"> tel que </w:t>
      </w:r>
      <w:r>
        <w:rPr>
          <w:rFonts w:ascii="Calibri" w:hAnsi="Calibri" w:cs="Calibri"/>
          <w:w w:val="105"/>
        </w:rPr>
        <w:t>les microparticules (</w:t>
      </w:r>
      <w:proofErr w:type="spellStart"/>
      <w:r>
        <w:rPr>
          <w:rFonts w:ascii="Calibri" w:hAnsi="Calibri" w:cs="Calibri"/>
          <w:w w:val="105"/>
        </w:rPr>
        <w:t>MPs</w:t>
      </w:r>
      <w:proofErr w:type="spellEnd"/>
      <w:r>
        <w:rPr>
          <w:rFonts w:ascii="Calibri" w:hAnsi="Calibri" w:cs="Calibri"/>
          <w:w w:val="105"/>
        </w:rPr>
        <w:t xml:space="preserve">) au diagnostic peut aider à une bonne évaluation des risques </w:t>
      </w:r>
      <w:proofErr w:type="spellStart"/>
      <w:r>
        <w:rPr>
          <w:rFonts w:ascii="Calibri" w:hAnsi="Calibri" w:cs="Calibri"/>
          <w:spacing w:val="-3"/>
          <w:w w:val="105"/>
        </w:rPr>
        <w:t>cardio</w:t>
      </w:r>
      <w:proofErr w:type="spellEnd"/>
      <w:r>
        <w:rPr>
          <w:rFonts w:ascii="Calibri" w:hAnsi="Calibri" w:cs="Calibri"/>
          <w:spacing w:val="-3"/>
          <w:w w:val="105"/>
        </w:rPr>
        <w:t xml:space="preserve">-métaboliques. Cette étude visait à identifier le pouvoir prédictif des </w:t>
      </w:r>
      <w:proofErr w:type="spellStart"/>
      <w:r>
        <w:rPr>
          <w:rFonts w:ascii="Calibri" w:hAnsi="Calibri" w:cs="Calibri"/>
          <w:spacing w:val="-3"/>
          <w:w w:val="105"/>
        </w:rPr>
        <w:t>MPs</w:t>
      </w:r>
      <w:proofErr w:type="spellEnd"/>
      <w:r>
        <w:rPr>
          <w:rFonts w:ascii="Calibri" w:hAnsi="Calibri" w:cs="Calibri"/>
          <w:spacing w:val="-3"/>
          <w:w w:val="105"/>
        </w:rPr>
        <w:t xml:space="preserve"> dans la souffrance cellulaire liée à la dyslipidémie et ses complications vasculaires, et décrirait ainsi </w:t>
      </w:r>
      <w:r>
        <w:rPr>
          <w:rFonts w:ascii="Calibri" w:hAnsi="Calibri" w:cs="Calibri"/>
          <w:spacing w:val="-2"/>
          <w:w w:val="105"/>
        </w:rPr>
        <w:t xml:space="preserve">la relation entre la dyslipidémie, les </w:t>
      </w:r>
      <w:proofErr w:type="spellStart"/>
      <w:r>
        <w:rPr>
          <w:rFonts w:ascii="Calibri" w:hAnsi="Calibri" w:cs="Calibri"/>
          <w:spacing w:val="-2"/>
          <w:w w:val="105"/>
        </w:rPr>
        <w:t>MPs</w:t>
      </w:r>
      <w:proofErr w:type="spellEnd"/>
      <w:r>
        <w:rPr>
          <w:rFonts w:ascii="Calibri" w:hAnsi="Calibri" w:cs="Calibri"/>
          <w:spacing w:val="-2"/>
          <w:w w:val="105"/>
        </w:rPr>
        <w:t xml:space="preserve"> et l’</w:t>
      </w:r>
      <w:proofErr w:type="spellStart"/>
      <w:r>
        <w:rPr>
          <w:rFonts w:ascii="Calibri" w:hAnsi="Calibri" w:cs="Calibri"/>
          <w:spacing w:val="-2"/>
          <w:w w:val="105"/>
        </w:rPr>
        <w:t>hémorhéologie</w:t>
      </w:r>
      <w:proofErr w:type="spellEnd"/>
      <w:r>
        <w:rPr>
          <w:rFonts w:ascii="Calibri" w:hAnsi="Calibri" w:cs="Calibri"/>
          <w:spacing w:val="-2"/>
          <w:w w:val="105"/>
        </w:rPr>
        <w:t xml:space="preserve"> chez le </w:t>
      </w:r>
      <w:proofErr w:type="spellStart"/>
      <w:r>
        <w:rPr>
          <w:rFonts w:ascii="Calibri" w:hAnsi="Calibri" w:cs="Calibri"/>
          <w:i/>
          <w:iCs/>
          <w:spacing w:val="-2"/>
          <w:w w:val="105"/>
        </w:rPr>
        <w:t>Psammomys</w:t>
      </w:r>
      <w:proofErr w:type="spellEnd"/>
      <w:r>
        <w:rPr>
          <w:rFonts w:ascii="Calibri" w:hAnsi="Calibri" w:cs="Calibri"/>
          <w:i/>
          <w:iCs/>
          <w:spacing w:val="-2"/>
          <w:w w:val="105"/>
        </w:rPr>
        <w:t xml:space="preserve"> </w:t>
      </w:r>
      <w:proofErr w:type="spellStart"/>
      <w:r>
        <w:rPr>
          <w:rFonts w:ascii="Calibri" w:hAnsi="Calibri" w:cs="Calibri"/>
          <w:i/>
          <w:iCs/>
          <w:spacing w:val="-2"/>
          <w:w w:val="105"/>
        </w:rPr>
        <w:t>obesus</w:t>
      </w:r>
      <w:proofErr w:type="spellEnd"/>
      <w:r>
        <w:rPr>
          <w:rFonts w:ascii="Calibri" w:hAnsi="Calibri" w:cs="Calibri"/>
          <w:spacing w:val="-2"/>
          <w:w w:val="105"/>
        </w:rPr>
        <w:t xml:space="preserve">. </w:t>
      </w:r>
      <w:r>
        <w:rPr>
          <w:rFonts w:ascii="Calibri" w:hAnsi="Calibri" w:cs="Calibri"/>
          <w:spacing w:val="-5"/>
          <w:w w:val="105"/>
        </w:rPr>
        <w:t xml:space="preserve">Pour cela, une expérimentation a été effectuée sur 12 </w:t>
      </w:r>
      <w:r>
        <w:rPr>
          <w:rFonts w:ascii="Calibri" w:hAnsi="Calibri" w:cs="Calibri"/>
          <w:i/>
          <w:iCs/>
          <w:spacing w:val="-5"/>
          <w:w w:val="105"/>
        </w:rPr>
        <w:t xml:space="preserve">P. </w:t>
      </w:r>
      <w:proofErr w:type="spellStart"/>
      <w:r>
        <w:rPr>
          <w:rFonts w:ascii="Calibri" w:hAnsi="Calibri" w:cs="Calibri"/>
          <w:i/>
          <w:iCs/>
          <w:spacing w:val="-5"/>
          <w:w w:val="105"/>
        </w:rPr>
        <w:t>obesus</w:t>
      </w:r>
      <w:proofErr w:type="spellEnd"/>
      <w:r>
        <w:rPr>
          <w:rFonts w:ascii="Calibri" w:hAnsi="Calibri" w:cs="Calibri"/>
          <w:i/>
          <w:iCs/>
          <w:spacing w:val="-5"/>
          <w:w w:val="105"/>
        </w:rPr>
        <w:t xml:space="preserve"> </w:t>
      </w:r>
      <w:r>
        <w:rPr>
          <w:rFonts w:ascii="Calibri" w:hAnsi="Calibri" w:cs="Calibri"/>
          <w:spacing w:val="-5"/>
          <w:w w:val="105"/>
        </w:rPr>
        <w:t xml:space="preserve">mâles subdivisés en deux </w:t>
      </w:r>
      <w:r>
        <w:rPr>
          <w:rFonts w:ascii="Calibri" w:hAnsi="Calibri" w:cs="Calibri"/>
          <w:spacing w:val="-3"/>
          <w:w w:val="105"/>
        </w:rPr>
        <w:t xml:space="preserve">groupes ; le premier groupe a reçu un régime naturel tandis que l’autre groupe a reçu un régime hypercalorique (RHC). L’analyse en </w:t>
      </w:r>
      <w:proofErr w:type="spellStart"/>
      <w:r>
        <w:rPr>
          <w:rFonts w:ascii="Calibri" w:hAnsi="Calibri" w:cs="Calibri"/>
          <w:spacing w:val="-3"/>
          <w:w w:val="105"/>
        </w:rPr>
        <w:t>cytométrie</w:t>
      </w:r>
      <w:proofErr w:type="spellEnd"/>
      <w:r>
        <w:rPr>
          <w:rFonts w:ascii="Calibri" w:hAnsi="Calibri" w:cs="Calibri"/>
          <w:spacing w:val="-3"/>
          <w:w w:val="105"/>
        </w:rPr>
        <w:t xml:space="preserve"> en flux des échantillons plasmatiques </w:t>
      </w:r>
      <w:r>
        <w:rPr>
          <w:rFonts w:ascii="Calibri" w:hAnsi="Calibri" w:cs="Calibri"/>
          <w:spacing w:val="4"/>
          <w:w w:val="105"/>
        </w:rPr>
        <w:t xml:space="preserve">a permis de montrer que le RHC provoque une augmentation du nombre des </w:t>
      </w:r>
      <w:proofErr w:type="spellStart"/>
      <w:r>
        <w:rPr>
          <w:rFonts w:ascii="Calibri" w:hAnsi="Calibri" w:cs="Calibri"/>
          <w:spacing w:val="4"/>
          <w:w w:val="105"/>
        </w:rPr>
        <w:t>MPs</w:t>
      </w:r>
      <w:proofErr w:type="spellEnd"/>
      <w:r>
        <w:rPr>
          <w:rFonts w:ascii="Calibri" w:hAnsi="Calibri" w:cs="Calibri"/>
          <w:spacing w:val="4"/>
          <w:w w:val="105"/>
        </w:rPr>
        <w:t xml:space="preserve"> </w:t>
      </w:r>
      <w:proofErr w:type="spellStart"/>
      <w:r>
        <w:rPr>
          <w:rFonts w:ascii="Calibri" w:hAnsi="Calibri" w:cs="Calibri"/>
          <w:spacing w:val="-2"/>
          <w:w w:val="105"/>
        </w:rPr>
        <w:t>monocytaire</w:t>
      </w:r>
      <w:proofErr w:type="spellEnd"/>
      <w:r>
        <w:rPr>
          <w:rFonts w:ascii="Calibri" w:hAnsi="Calibri" w:cs="Calibri"/>
          <w:spacing w:val="-2"/>
          <w:w w:val="105"/>
        </w:rPr>
        <w:t>/</w:t>
      </w:r>
      <w:proofErr w:type="spellStart"/>
      <w:r>
        <w:rPr>
          <w:rFonts w:ascii="Calibri" w:hAnsi="Calibri" w:cs="Calibri"/>
          <w:spacing w:val="-2"/>
          <w:w w:val="105"/>
        </w:rPr>
        <w:t>neutrophilaire</w:t>
      </w:r>
      <w:proofErr w:type="spellEnd"/>
      <w:r>
        <w:rPr>
          <w:rFonts w:ascii="Calibri" w:hAnsi="Calibri" w:cs="Calibri"/>
          <w:spacing w:val="-2"/>
          <w:w w:val="105"/>
        </w:rPr>
        <w:t xml:space="preserve"> (CD11b</w:t>
      </w:r>
      <w:r>
        <w:rPr>
          <w:rFonts w:ascii="Calibri" w:hAnsi="Calibri" w:cs="Calibri"/>
          <w:spacing w:val="-2"/>
          <w:w w:val="105"/>
          <w:vertAlign w:val="superscript"/>
        </w:rPr>
        <w:t>+</w:t>
      </w:r>
      <w:r>
        <w:rPr>
          <w:rFonts w:ascii="Calibri" w:hAnsi="Calibri" w:cs="Calibri"/>
          <w:spacing w:val="-2"/>
          <w:w w:val="105"/>
        </w:rPr>
        <w:t xml:space="preserve">) et </w:t>
      </w:r>
      <w:proofErr w:type="spellStart"/>
      <w:r>
        <w:rPr>
          <w:rFonts w:ascii="Calibri" w:hAnsi="Calibri" w:cs="Calibri"/>
          <w:spacing w:val="-2"/>
          <w:w w:val="105"/>
        </w:rPr>
        <w:t>procoagulantes</w:t>
      </w:r>
      <w:proofErr w:type="spellEnd"/>
      <w:r>
        <w:rPr>
          <w:rFonts w:ascii="Calibri" w:hAnsi="Calibri" w:cs="Calibri"/>
          <w:spacing w:val="-2"/>
          <w:w w:val="105"/>
        </w:rPr>
        <w:t xml:space="preserve"> (</w:t>
      </w:r>
      <w:proofErr w:type="spellStart"/>
      <w:r>
        <w:rPr>
          <w:rFonts w:ascii="Calibri" w:hAnsi="Calibri" w:cs="Calibri"/>
          <w:spacing w:val="-2"/>
          <w:w w:val="105"/>
        </w:rPr>
        <w:t>Annexine</w:t>
      </w:r>
      <w:proofErr w:type="spellEnd"/>
      <w:r>
        <w:rPr>
          <w:rFonts w:ascii="Calibri" w:hAnsi="Calibri" w:cs="Calibri"/>
          <w:spacing w:val="-2"/>
          <w:w w:val="105"/>
        </w:rPr>
        <w:t xml:space="preserve"> V</w:t>
      </w:r>
      <w:r>
        <w:rPr>
          <w:rFonts w:ascii="Calibri" w:hAnsi="Calibri" w:cs="Calibri"/>
          <w:spacing w:val="-2"/>
          <w:w w:val="105"/>
          <w:vertAlign w:val="superscript"/>
        </w:rPr>
        <w:t>+</w:t>
      </w:r>
      <w:r>
        <w:rPr>
          <w:rFonts w:ascii="Calibri" w:hAnsi="Calibri" w:cs="Calibri"/>
          <w:spacing w:val="-2"/>
          <w:w w:val="105"/>
        </w:rPr>
        <w:t xml:space="preserve">) sans affecter les autres populations de </w:t>
      </w:r>
      <w:proofErr w:type="spellStart"/>
      <w:r>
        <w:rPr>
          <w:rFonts w:ascii="Calibri" w:hAnsi="Calibri" w:cs="Calibri"/>
          <w:spacing w:val="-2"/>
          <w:w w:val="105"/>
        </w:rPr>
        <w:t>MPs</w:t>
      </w:r>
      <w:proofErr w:type="spellEnd"/>
      <w:r>
        <w:rPr>
          <w:rFonts w:ascii="Calibri" w:hAnsi="Calibri" w:cs="Calibri"/>
          <w:spacing w:val="-2"/>
          <w:w w:val="105"/>
        </w:rPr>
        <w:t xml:space="preserve"> lors de l’installation de la dyslipidémie. L’étude structurale et </w:t>
      </w:r>
      <w:r>
        <w:rPr>
          <w:rFonts w:ascii="Calibri" w:hAnsi="Calibri" w:cs="Calibri"/>
          <w:spacing w:val="-8"/>
          <w:w w:val="105"/>
        </w:rPr>
        <w:t xml:space="preserve">ultra-structurale a montré que le RHC provoque des changements au niveau tissulaire et des </w:t>
      </w:r>
      <w:r>
        <w:rPr>
          <w:rFonts w:ascii="Calibri" w:hAnsi="Calibri" w:cs="Calibri"/>
          <w:spacing w:val="-7"/>
          <w:w w:val="105"/>
        </w:rPr>
        <w:t xml:space="preserve">désordres cellulaires qui affectent les tuniques de la paroi vasculaire. La mesure </w:t>
      </w:r>
      <w:r>
        <w:rPr>
          <w:rFonts w:ascii="Calibri" w:hAnsi="Calibri" w:cs="Calibri"/>
          <w:i/>
          <w:iCs/>
          <w:spacing w:val="-7"/>
          <w:w w:val="105"/>
        </w:rPr>
        <w:t xml:space="preserve">in situ </w:t>
      </w:r>
      <w:r>
        <w:rPr>
          <w:rFonts w:ascii="Calibri" w:hAnsi="Calibri" w:cs="Calibri"/>
          <w:spacing w:val="-7"/>
          <w:w w:val="105"/>
        </w:rPr>
        <w:t xml:space="preserve">de la </w:t>
      </w:r>
      <w:r>
        <w:rPr>
          <w:rFonts w:ascii="Calibri" w:hAnsi="Calibri" w:cs="Calibri"/>
          <w:spacing w:val="-2"/>
          <w:w w:val="105"/>
        </w:rPr>
        <w:t xml:space="preserve">production aortique en </w:t>
      </w:r>
      <w:proofErr w:type="spellStart"/>
      <w:r>
        <w:rPr>
          <w:rFonts w:ascii="Calibri" w:hAnsi="Calibri" w:cs="Calibri"/>
          <w:spacing w:val="-2"/>
          <w:w w:val="105"/>
        </w:rPr>
        <w:t>EROs</w:t>
      </w:r>
      <w:proofErr w:type="spellEnd"/>
      <w:r>
        <w:rPr>
          <w:rFonts w:ascii="Calibri" w:hAnsi="Calibri" w:cs="Calibri"/>
          <w:spacing w:val="-2"/>
          <w:w w:val="105"/>
        </w:rPr>
        <w:t xml:space="preserve"> a permis de renseigner sur la présence d’un état de stress </w:t>
      </w:r>
      <w:r>
        <w:rPr>
          <w:rFonts w:ascii="Calibri" w:hAnsi="Calibri" w:cs="Calibri"/>
          <w:spacing w:val="-4"/>
          <w:w w:val="105"/>
        </w:rPr>
        <w:t xml:space="preserve">oxydant accompagnant les lésions vasculaires provoquées par le RHC. En combinant nos </w:t>
      </w:r>
      <w:r>
        <w:rPr>
          <w:rFonts w:ascii="Calibri" w:hAnsi="Calibri" w:cs="Calibri"/>
          <w:spacing w:val="-6"/>
          <w:w w:val="105"/>
        </w:rPr>
        <w:t xml:space="preserve">résultats de l’immunofluorescence, du Western blot et de la microscopie électronique, nous </w:t>
      </w:r>
      <w:r>
        <w:rPr>
          <w:rFonts w:ascii="Calibri" w:hAnsi="Calibri" w:cs="Calibri"/>
          <w:spacing w:val="-4"/>
          <w:w w:val="105"/>
        </w:rPr>
        <w:t>avons pu montrer que le RHC a induit également une surexpression de l’</w:t>
      </w:r>
      <w:proofErr w:type="spellStart"/>
      <w:r>
        <w:rPr>
          <w:rFonts w:ascii="Calibri" w:hAnsi="Calibri" w:cs="Calibri"/>
          <w:spacing w:val="-4"/>
          <w:w w:val="105"/>
        </w:rPr>
        <w:t>isoforme</w:t>
      </w:r>
      <w:proofErr w:type="spellEnd"/>
      <w:r>
        <w:rPr>
          <w:rFonts w:ascii="Calibri" w:hAnsi="Calibri" w:cs="Calibri"/>
          <w:spacing w:val="-4"/>
          <w:w w:val="105"/>
        </w:rPr>
        <w:t xml:space="preserve"> β du </w:t>
      </w:r>
      <w:proofErr w:type="spellStart"/>
      <w:r>
        <w:rPr>
          <w:rFonts w:ascii="Calibri" w:hAnsi="Calibri" w:cs="Calibri"/>
          <w:spacing w:val="-4"/>
          <w:w w:val="105"/>
        </w:rPr>
        <w:t>cav</w:t>
      </w:r>
      <w:proofErr w:type="spellEnd"/>
      <w:r>
        <w:rPr>
          <w:rFonts w:ascii="Calibri" w:hAnsi="Calibri" w:cs="Calibri"/>
          <w:spacing w:val="-4"/>
          <w:w w:val="105"/>
        </w:rPr>
        <w:t xml:space="preserve">-1 </w:t>
      </w:r>
      <w:r>
        <w:rPr>
          <w:rFonts w:ascii="Calibri" w:hAnsi="Calibri" w:cs="Calibri"/>
          <w:spacing w:val="-3"/>
          <w:w w:val="105"/>
        </w:rPr>
        <w:t xml:space="preserve">au niveau de l’endothélium. En conclusion, cette étude suggère que les microparticules </w:t>
      </w:r>
      <w:r>
        <w:rPr>
          <w:rFonts w:ascii="Calibri" w:hAnsi="Calibri" w:cs="Calibri"/>
          <w:spacing w:val="2"/>
          <w:w w:val="105"/>
        </w:rPr>
        <w:t xml:space="preserve">circulantes apportent un éclairage sur un nouveau répertoire de </w:t>
      </w:r>
      <w:proofErr w:type="spellStart"/>
      <w:r>
        <w:rPr>
          <w:rFonts w:ascii="Calibri" w:hAnsi="Calibri" w:cs="Calibri"/>
          <w:spacing w:val="2"/>
          <w:w w:val="105"/>
        </w:rPr>
        <w:t>biomarqueur</w:t>
      </w:r>
      <w:proofErr w:type="spellEnd"/>
      <w:r>
        <w:rPr>
          <w:rFonts w:ascii="Calibri" w:hAnsi="Calibri" w:cs="Calibri"/>
          <w:spacing w:val="2"/>
          <w:w w:val="105"/>
        </w:rPr>
        <w:t xml:space="preserve"> de la </w:t>
      </w:r>
      <w:r>
        <w:rPr>
          <w:rFonts w:ascii="Calibri" w:hAnsi="Calibri" w:cs="Calibri"/>
          <w:spacing w:val="-1"/>
          <w:w w:val="105"/>
        </w:rPr>
        <w:t xml:space="preserve">souffrance cellulaire liée à la dyslipidémie et l’athérosclérose, et peuvent constituer une </w:t>
      </w:r>
      <w:r>
        <w:rPr>
          <w:rFonts w:ascii="Calibri" w:hAnsi="Calibri" w:cs="Calibri"/>
          <w:spacing w:val="-4"/>
          <w:w w:val="105"/>
        </w:rPr>
        <w:t xml:space="preserve">cible majeure du traitement des pathologies </w:t>
      </w:r>
      <w:proofErr w:type="spellStart"/>
      <w:r>
        <w:rPr>
          <w:rFonts w:ascii="Calibri" w:hAnsi="Calibri" w:cs="Calibri"/>
          <w:spacing w:val="-4"/>
          <w:w w:val="105"/>
        </w:rPr>
        <w:t>cardio</w:t>
      </w:r>
      <w:proofErr w:type="spellEnd"/>
      <w:r>
        <w:rPr>
          <w:rFonts w:ascii="Calibri" w:hAnsi="Calibri" w:cs="Calibri"/>
          <w:spacing w:val="-4"/>
          <w:w w:val="105"/>
        </w:rPr>
        <w:t>-métaboliques.</w:t>
      </w:r>
    </w:p>
    <w:p w:rsidR="00551B1E" w:rsidRDefault="00551B1E" w:rsidP="00551B1E">
      <w:pPr>
        <w:spacing w:before="252"/>
        <w:rPr>
          <w:rFonts w:ascii="Calibri" w:hAnsi="Calibri" w:cs="Calibri"/>
          <w:spacing w:val="-6"/>
          <w:w w:val="105"/>
        </w:rPr>
      </w:pPr>
      <w:r>
        <w:rPr>
          <w:rFonts w:ascii="Calibri" w:hAnsi="Calibri" w:cs="Calibri"/>
          <w:b/>
          <w:bCs/>
          <w:spacing w:val="-5"/>
          <w:w w:val="105"/>
        </w:rPr>
        <w:t xml:space="preserve">Mots-clés : </w:t>
      </w:r>
      <w:r>
        <w:rPr>
          <w:rFonts w:ascii="Calibri" w:hAnsi="Calibri" w:cs="Calibri"/>
          <w:spacing w:val="-5"/>
          <w:w w:val="105"/>
        </w:rPr>
        <w:t xml:space="preserve">Aorte, </w:t>
      </w:r>
      <w:proofErr w:type="spellStart"/>
      <w:r>
        <w:rPr>
          <w:rFonts w:ascii="Calibri" w:hAnsi="Calibri" w:cs="Calibri"/>
          <w:spacing w:val="-5"/>
          <w:w w:val="105"/>
        </w:rPr>
        <w:t>Caveoline</w:t>
      </w:r>
      <w:proofErr w:type="spellEnd"/>
      <w:r>
        <w:rPr>
          <w:rFonts w:ascii="Calibri" w:hAnsi="Calibri" w:cs="Calibri"/>
          <w:spacing w:val="-5"/>
          <w:w w:val="105"/>
        </w:rPr>
        <w:t xml:space="preserve">-1, CD11b, Microparticule, Dyslipidémie, </w:t>
      </w:r>
      <w:proofErr w:type="spellStart"/>
      <w:r>
        <w:rPr>
          <w:rFonts w:ascii="Calibri" w:hAnsi="Calibri" w:cs="Calibri"/>
          <w:spacing w:val="-5"/>
          <w:w w:val="105"/>
        </w:rPr>
        <w:t>Phosphatidylsérine</w:t>
      </w:r>
      <w:proofErr w:type="spellEnd"/>
      <w:r>
        <w:rPr>
          <w:rFonts w:ascii="Calibri" w:hAnsi="Calibri" w:cs="Calibri"/>
          <w:spacing w:val="-5"/>
          <w:w w:val="105"/>
        </w:rPr>
        <w:t xml:space="preserve">, </w:t>
      </w:r>
      <w:proofErr w:type="spellStart"/>
      <w:r>
        <w:rPr>
          <w:rFonts w:ascii="Calibri" w:hAnsi="Calibri" w:cs="Calibri"/>
          <w:i/>
          <w:iCs/>
          <w:spacing w:val="-6"/>
          <w:w w:val="105"/>
        </w:rPr>
        <w:t>Psammomys</w:t>
      </w:r>
      <w:proofErr w:type="spellEnd"/>
      <w:r>
        <w:rPr>
          <w:rFonts w:ascii="Calibri" w:hAnsi="Calibri" w:cs="Calibri"/>
          <w:i/>
          <w:iCs/>
          <w:spacing w:val="-6"/>
          <w:w w:val="105"/>
        </w:rPr>
        <w:t xml:space="preserve"> </w:t>
      </w:r>
      <w:proofErr w:type="spellStart"/>
      <w:r>
        <w:rPr>
          <w:rFonts w:ascii="Calibri" w:hAnsi="Calibri" w:cs="Calibri"/>
          <w:i/>
          <w:iCs/>
          <w:spacing w:val="-6"/>
          <w:w w:val="105"/>
        </w:rPr>
        <w:t>obesus</w:t>
      </w:r>
      <w:proofErr w:type="spellEnd"/>
      <w:r>
        <w:rPr>
          <w:rFonts w:ascii="Calibri" w:hAnsi="Calibri" w:cs="Calibri"/>
          <w:i/>
          <w:iCs/>
          <w:spacing w:val="-6"/>
          <w:w w:val="105"/>
        </w:rPr>
        <w:t>.</w:t>
      </w:r>
    </w:p>
    <w:p w:rsidR="00F04C45" w:rsidRDefault="00F04C45"/>
    <w:sectPr w:rsidR="00F04C45" w:rsidSect="00F04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51B1E"/>
    <w:rsid w:val="00551B1E"/>
    <w:rsid w:val="00F04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1B1E"/>
    <w:pPr>
      <w:widowControl w:val="0"/>
      <w:kinsoku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1874</Characters>
  <Application>Microsoft Office Word</Application>
  <DocSecurity>0</DocSecurity>
  <Lines>15</Lines>
  <Paragraphs>4</Paragraphs>
  <ScaleCrop>false</ScaleCrop>
  <Company/>
  <LinksUpToDate>false</LinksUpToDate>
  <CharactersWithSpaces>2210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1</cp:revision>
  <dcterms:created xsi:type="dcterms:W3CDTF">2016-03-05T18:43:00Z</dcterms:created>
  <dcterms:modified xsi:type="dcterms:W3CDTF">2016-03-05T18:44:00Z</dcterms:modified>
</cp:coreProperties>
</file>