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17B34" w:rsidRPr="0045694D" w:rsidRDefault="0045694D" w:rsidP="0045694D">
      <w:r w:rsidRPr="0045694D">
        <w:t xml:space="preserve">Cette étude, basée sur des données et observations récoltées lors des prospections effectuées par le navire océanographique " Thalassa " ainsi que celle de la pêche commerciale de la région d'Alger, fournit des éléments sur la répartition, l'écologie, le régime alimentaire, la reproduction, la croissance et l'exploitation de </w:t>
      </w:r>
      <w:proofErr w:type="spellStart"/>
      <w:r w:rsidRPr="0045694D">
        <w:t>Mullus</w:t>
      </w:r>
      <w:proofErr w:type="spellEnd"/>
      <w:r w:rsidRPr="0045694D">
        <w:t xml:space="preserve"> </w:t>
      </w:r>
      <w:proofErr w:type="spellStart"/>
      <w:r w:rsidRPr="0045694D">
        <w:t>barbatus</w:t>
      </w:r>
      <w:proofErr w:type="spellEnd"/>
      <w:r w:rsidRPr="0045694D">
        <w:t xml:space="preserve"> </w:t>
      </w:r>
      <w:proofErr w:type="spellStart"/>
      <w:r w:rsidRPr="0045694D">
        <w:t>Linnaeus</w:t>
      </w:r>
      <w:proofErr w:type="spellEnd"/>
      <w:r w:rsidRPr="0045694D">
        <w:t xml:space="preserve">, 1758 des fonds chalutables des côtes algériennes. En Algérie, cette espèce est présente dans tous les secteurs sur des fonds de vase à octocoralliaires, entre 20 et 200 mètres de profondeur. En moyenne, 559 individus par heure sont pêchés au chalut. Sa faune associée est composée d'espèces de poissons d'intérêt commercial, de Crustacés et de Mollusques. Son régime alimentaire est varié, il est surtout composé </w:t>
      </w:r>
      <w:proofErr w:type="spellStart"/>
      <w:r w:rsidRPr="0045694D">
        <w:t>deCrustacés</w:t>
      </w:r>
      <w:proofErr w:type="spellEnd"/>
      <w:r w:rsidRPr="0045694D">
        <w:t xml:space="preserve">.                                                                                                                         Le sex-ratio global est en faveur des femelles et présente cependant peu de variations en fonction de la bathymétrie et des mois. La maturation des gonades est observée à partir du mois d'avril. Chez les femelles de M. </w:t>
      </w:r>
      <w:proofErr w:type="spellStart"/>
      <w:r w:rsidRPr="0045694D">
        <w:t>barbatus</w:t>
      </w:r>
      <w:proofErr w:type="spellEnd"/>
      <w:r w:rsidRPr="0045694D">
        <w:t>, la taille de première maturité sexuelle est estimée à 15,9 cm. La fécondité  est en moyenne de 57127 œufs par femelle et les femelles allant de 16.5 à 19 .5 cm contribuent  à 88%  de la production d'</w:t>
      </w:r>
      <w:proofErr w:type="spellStart"/>
      <w:r w:rsidRPr="0045694D">
        <w:t>oeufs</w:t>
      </w:r>
      <w:proofErr w:type="spellEnd"/>
      <w:r w:rsidRPr="0045694D">
        <w:t xml:space="preserve"> pour le renouvèlement du stock.                      Les paramètres de croissance (du modèle de </w:t>
      </w:r>
      <w:proofErr w:type="spellStart"/>
      <w:r w:rsidRPr="0045694D">
        <w:t>von</w:t>
      </w:r>
      <w:proofErr w:type="spellEnd"/>
      <w:r w:rsidRPr="0045694D">
        <w:t xml:space="preserve"> </w:t>
      </w:r>
      <w:proofErr w:type="spellStart"/>
      <w:r w:rsidRPr="0045694D">
        <w:t>Bertalanffy</w:t>
      </w:r>
      <w:proofErr w:type="spellEnd"/>
      <w:r w:rsidRPr="0045694D">
        <w:t>), de chaque sexe sont déterminés par analyse des structures de tailles (Powell-</w:t>
      </w:r>
      <w:proofErr w:type="spellStart"/>
      <w:r w:rsidRPr="0045694D">
        <w:t>Wetherall</w:t>
      </w:r>
      <w:proofErr w:type="spellEnd"/>
      <w:r w:rsidRPr="0045694D">
        <w:t>). D'autres paramètres, notamment les coefficients de mortalité totale (Z), naturelle (M), et par pêche (F) ainsi que la taille de sélection, obtenus par méthodes statistiques ont servis à l'application de modèles analytiques: modèle de rendement relatif par recrue (</w:t>
      </w:r>
      <w:proofErr w:type="spellStart"/>
      <w:r w:rsidRPr="0045694D">
        <w:t>Beverton</w:t>
      </w:r>
      <w:proofErr w:type="spellEnd"/>
      <w:r w:rsidRPr="0045694D">
        <w:t xml:space="preserve"> et Holt, 1966) et analyse des populations virtuelles (VPA) basée sur les longueurs. Ces modèles mettent en évidence un niveau d'exploitation optimal de cette espèce dans la région d'Alger.</w:t>
      </w:r>
    </w:p>
    <w:sectPr w:rsidR="00417B34" w:rsidRPr="0045694D" w:rsidSect="00417B34">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ED3F3E"/>
    <w:rsid w:val="000E0F8E"/>
    <w:rsid w:val="00417B34"/>
    <w:rsid w:val="0045694D"/>
    <w:rsid w:val="0047603E"/>
    <w:rsid w:val="00C80AA5"/>
    <w:rsid w:val="00ED3F3E"/>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17B34"/>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32</TotalTime>
  <Pages>1</Pages>
  <Words>307</Words>
  <Characters>1691</Characters>
  <Application>Microsoft Office Word</Application>
  <DocSecurity>0</DocSecurity>
  <Lines>14</Lines>
  <Paragraphs>3</Paragraphs>
  <ScaleCrop>false</ScaleCrop>
  <Company/>
  <LinksUpToDate>false</LinksUpToDate>
  <CharactersWithSpaces>1995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4</cp:revision>
  <dcterms:created xsi:type="dcterms:W3CDTF">2015-03-22T09:17:00Z</dcterms:created>
  <dcterms:modified xsi:type="dcterms:W3CDTF">2015-03-22T12:45:00Z</dcterms:modified>
</cp:coreProperties>
</file>