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48DA" w:rsidRDefault="000A48DA" w:rsidP="00BA364F">
      <w:pPr>
        <w:rPr>
          <w:b/>
          <w:sz w:val="18"/>
          <w:szCs w:val="18"/>
        </w:rPr>
      </w:pPr>
    </w:p>
    <w:p w:rsidR="000A48DA" w:rsidRDefault="000A48DA" w:rsidP="00BA364F">
      <w:pPr>
        <w:rPr>
          <w:b/>
          <w:sz w:val="18"/>
          <w:szCs w:val="18"/>
        </w:rPr>
      </w:pPr>
    </w:p>
    <w:p w:rsidR="000A48DA" w:rsidRDefault="000A48DA" w:rsidP="00BA364F">
      <w:pPr>
        <w:rPr>
          <w:b/>
          <w:sz w:val="18"/>
          <w:szCs w:val="18"/>
        </w:rPr>
      </w:pPr>
    </w:p>
    <w:p w:rsidR="000A48DA" w:rsidRDefault="000A48DA" w:rsidP="00BA364F">
      <w:pPr>
        <w:rPr>
          <w:b/>
          <w:sz w:val="18"/>
          <w:szCs w:val="18"/>
        </w:rPr>
      </w:pPr>
    </w:p>
    <w:p w:rsidR="000A48DA" w:rsidRDefault="000A48DA" w:rsidP="00BA364F">
      <w:pPr>
        <w:rPr>
          <w:b/>
          <w:sz w:val="18"/>
          <w:szCs w:val="18"/>
        </w:rPr>
      </w:pPr>
    </w:p>
    <w:p w:rsidR="000A48DA" w:rsidRDefault="000A48DA" w:rsidP="00BA364F">
      <w:pPr>
        <w:rPr>
          <w:b/>
          <w:sz w:val="18"/>
          <w:szCs w:val="18"/>
        </w:rPr>
      </w:pPr>
    </w:p>
    <w:p w:rsidR="000A48DA" w:rsidRDefault="000A48DA" w:rsidP="00BA364F">
      <w:pPr>
        <w:rPr>
          <w:b/>
          <w:sz w:val="18"/>
          <w:szCs w:val="18"/>
        </w:rPr>
      </w:pPr>
    </w:p>
    <w:p w:rsidR="00BA364F" w:rsidRPr="00F0520D" w:rsidRDefault="00BA364F" w:rsidP="00BA364F">
      <w:pPr>
        <w:rPr>
          <w:b/>
          <w:sz w:val="18"/>
          <w:szCs w:val="18"/>
        </w:rPr>
      </w:pPr>
      <w:bookmarkStart w:id="0" w:name="_GoBack"/>
      <w:bookmarkEnd w:id="0"/>
      <w:r w:rsidRPr="00F0520D">
        <w:rPr>
          <w:b/>
          <w:sz w:val="18"/>
          <w:szCs w:val="18"/>
        </w:rPr>
        <w:t>Résumé </w:t>
      </w:r>
    </w:p>
    <w:p w:rsidR="00BA364F" w:rsidRDefault="00BA364F" w:rsidP="00BA364F">
      <w:pPr>
        <w:widowControl w:val="0"/>
        <w:autoSpaceDE w:val="0"/>
        <w:autoSpaceDN w:val="0"/>
        <w:adjustRightInd w:val="0"/>
        <w:spacing w:line="360" w:lineRule="auto"/>
        <w:ind w:right="68" w:firstLine="709"/>
        <w:jc w:val="both"/>
        <w:rPr>
          <w:rFonts w:eastAsia="Calibri"/>
          <w:iCs/>
          <w:sz w:val="18"/>
          <w:szCs w:val="18"/>
        </w:rPr>
      </w:pPr>
    </w:p>
    <w:p w:rsidR="00BA364F" w:rsidRDefault="00BA364F" w:rsidP="00BA364F">
      <w:pPr>
        <w:widowControl w:val="0"/>
        <w:autoSpaceDE w:val="0"/>
        <w:autoSpaceDN w:val="0"/>
        <w:adjustRightInd w:val="0"/>
        <w:spacing w:line="360" w:lineRule="auto"/>
        <w:ind w:right="68" w:firstLine="709"/>
        <w:jc w:val="both"/>
        <w:rPr>
          <w:rFonts w:eastAsia="Calibri"/>
          <w:iCs/>
          <w:sz w:val="18"/>
          <w:szCs w:val="18"/>
        </w:rPr>
      </w:pPr>
    </w:p>
    <w:p w:rsidR="00BA364F" w:rsidRPr="004B71E3" w:rsidRDefault="00BA364F" w:rsidP="00BA364F">
      <w:pPr>
        <w:widowControl w:val="0"/>
        <w:autoSpaceDE w:val="0"/>
        <w:autoSpaceDN w:val="0"/>
        <w:adjustRightInd w:val="0"/>
        <w:spacing w:line="360" w:lineRule="auto"/>
        <w:ind w:right="68" w:firstLine="709"/>
        <w:jc w:val="both"/>
        <w:rPr>
          <w:iCs/>
          <w:spacing w:val="1"/>
          <w:sz w:val="18"/>
          <w:szCs w:val="18"/>
        </w:rPr>
      </w:pPr>
      <w:r w:rsidRPr="004B71E3">
        <w:rPr>
          <w:rFonts w:eastAsia="Calibri"/>
          <w:iCs/>
          <w:sz w:val="18"/>
          <w:szCs w:val="18"/>
        </w:rPr>
        <w:t xml:space="preserve">Dans la présente étude, </w:t>
      </w:r>
      <w:r w:rsidRPr="004B71E3">
        <w:rPr>
          <w:iCs/>
          <w:spacing w:val="1"/>
          <w:sz w:val="18"/>
          <w:szCs w:val="18"/>
        </w:rPr>
        <w:t>nous</w:t>
      </w:r>
      <w:r w:rsidRPr="004B71E3">
        <w:rPr>
          <w:sz w:val="18"/>
          <w:szCs w:val="18"/>
        </w:rPr>
        <w:t xml:space="preserve"> avons synthétisé des matériaux microporeux de type aluminophosphates et silico-aluminophosphates de structures différentes, notées AEL (AlPO</w:t>
      </w:r>
      <w:r w:rsidRPr="004B71E3">
        <w:rPr>
          <w:sz w:val="18"/>
          <w:szCs w:val="18"/>
          <w:vertAlign w:val="subscript"/>
        </w:rPr>
        <w:t>4</w:t>
      </w:r>
      <w:r w:rsidRPr="004B71E3">
        <w:rPr>
          <w:sz w:val="18"/>
          <w:szCs w:val="18"/>
        </w:rPr>
        <w:t>-11, SAPO-11) et AFI (AlPO</w:t>
      </w:r>
      <w:r w:rsidRPr="004B71E3">
        <w:rPr>
          <w:sz w:val="18"/>
          <w:szCs w:val="18"/>
          <w:vertAlign w:val="subscript"/>
        </w:rPr>
        <w:t>4</w:t>
      </w:r>
      <w:r w:rsidRPr="004B71E3">
        <w:rPr>
          <w:sz w:val="18"/>
          <w:szCs w:val="18"/>
        </w:rPr>
        <w:t>-5, SAPO-5), par voie hydrothermale. Ces matériaux ont fait, ensuite, l’objet d’une caractérisation physico-chimique et structurale par diffraction X, microscopie électronique à balayage MEB, spectroscopie infrarouge FTIR, fluorescence X et analyse par BET.</w:t>
      </w:r>
    </w:p>
    <w:p w:rsidR="00BA364F" w:rsidRPr="004B71E3" w:rsidRDefault="00BA364F" w:rsidP="00BA364F">
      <w:pPr>
        <w:widowControl w:val="0"/>
        <w:autoSpaceDE w:val="0"/>
        <w:autoSpaceDN w:val="0"/>
        <w:adjustRightInd w:val="0"/>
        <w:spacing w:line="360" w:lineRule="auto"/>
        <w:ind w:right="68"/>
        <w:jc w:val="both"/>
        <w:rPr>
          <w:sz w:val="18"/>
          <w:szCs w:val="18"/>
        </w:rPr>
      </w:pPr>
      <w:r w:rsidRPr="004B71E3">
        <w:rPr>
          <w:sz w:val="18"/>
          <w:szCs w:val="18"/>
        </w:rPr>
        <w:t xml:space="preserve">Par la suite, nous avons procédé à l’application de ces matériaux dans le processus d’élimination de l’uranium contenus dans des solutions synthétiques par adsorption en batch. Une étude d’optimisation paramétrique de l’adsorption, portant sur le temps de contact, la concentration initiale d’uranium, le pH, rapport solide/liquide et température a été réalisée ; puis, nous avons opéré une modélisation des phénomènes de transfert à travers les différentes isothermes d’adsorption, selon les modèles de Langmuir-Freundlich, Dubinin-Radushekevich et Temkin. </w:t>
      </w:r>
    </w:p>
    <w:p w:rsidR="00BA364F" w:rsidRPr="004B71E3" w:rsidRDefault="00BA364F" w:rsidP="00BA364F">
      <w:pPr>
        <w:widowControl w:val="0"/>
        <w:autoSpaceDE w:val="0"/>
        <w:autoSpaceDN w:val="0"/>
        <w:adjustRightInd w:val="0"/>
        <w:spacing w:before="120" w:after="120" w:line="360" w:lineRule="auto"/>
        <w:ind w:right="68"/>
        <w:jc w:val="both"/>
        <w:rPr>
          <w:rFonts w:eastAsia="Calibri"/>
          <w:iCs/>
          <w:spacing w:val="1"/>
          <w:sz w:val="18"/>
          <w:szCs w:val="18"/>
        </w:rPr>
      </w:pPr>
      <w:r w:rsidRPr="004B71E3">
        <w:rPr>
          <w:sz w:val="18"/>
          <w:szCs w:val="18"/>
        </w:rPr>
        <w:t xml:space="preserve">Une étude à la fois cinétique et thermodynamique a été réalisée à partir des données expérimentales. </w:t>
      </w:r>
      <w:r w:rsidRPr="004B71E3">
        <w:rPr>
          <w:rFonts w:eastAsia="Calibri"/>
          <w:iCs/>
          <w:sz w:val="18"/>
          <w:szCs w:val="18"/>
        </w:rPr>
        <w:t>Les résultats expérimentaux déduits de l’étude cinétique ont été modélisées à l'aide d’équations de pseudo-premier ordre, pseudo-</w:t>
      </w:r>
      <w:r w:rsidRPr="004B71E3">
        <w:rPr>
          <w:iCs/>
          <w:sz w:val="18"/>
          <w:szCs w:val="18"/>
        </w:rPr>
        <w:t xml:space="preserve">deuxième </w:t>
      </w:r>
      <w:r w:rsidRPr="004B71E3">
        <w:rPr>
          <w:rFonts w:eastAsia="Calibri"/>
          <w:iCs/>
          <w:spacing w:val="1"/>
          <w:sz w:val="18"/>
          <w:szCs w:val="18"/>
        </w:rPr>
        <w:t>ordre</w:t>
      </w:r>
      <w:r w:rsidRPr="004B71E3">
        <w:rPr>
          <w:rFonts w:eastAsia="Calibri"/>
          <w:iCs/>
          <w:sz w:val="18"/>
          <w:szCs w:val="18"/>
        </w:rPr>
        <w:t>, et diffu</w:t>
      </w:r>
      <w:r w:rsidRPr="004B71E3">
        <w:rPr>
          <w:rFonts w:eastAsia="Calibri"/>
          <w:iCs/>
          <w:spacing w:val="-1"/>
          <w:sz w:val="18"/>
          <w:szCs w:val="18"/>
        </w:rPr>
        <w:t>s</w:t>
      </w:r>
      <w:r w:rsidRPr="004B71E3">
        <w:rPr>
          <w:rFonts w:eastAsia="Calibri"/>
          <w:iCs/>
          <w:spacing w:val="1"/>
          <w:sz w:val="18"/>
          <w:szCs w:val="18"/>
        </w:rPr>
        <w:t>i</w:t>
      </w:r>
      <w:r w:rsidRPr="004B71E3">
        <w:rPr>
          <w:rFonts w:eastAsia="Calibri"/>
          <w:iCs/>
          <w:sz w:val="18"/>
          <w:szCs w:val="18"/>
        </w:rPr>
        <w:t xml:space="preserve">on </w:t>
      </w:r>
      <w:r w:rsidRPr="004B71E3">
        <w:rPr>
          <w:rFonts w:eastAsia="Calibri"/>
          <w:iCs/>
          <w:spacing w:val="1"/>
          <w:sz w:val="18"/>
          <w:szCs w:val="18"/>
        </w:rPr>
        <w:t>intra</w:t>
      </w:r>
      <w:r w:rsidRPr="004B71E3">
        <w:rPr>
          <w:rFonts w:eastAsia="Calibri"/>
          <w:iCs/>
          <w:sz w:val="18"/>
          <w:szCs w:val="18"/>
        </w:rPr>
        <w:t>-pa</w:t>
      </w:r>
      <w:r w:rsidRPr="004B71E3">
        <w:rPr>
          <w:rFonts w:eastAsia="Calibri"/>
          <w:iCs/>
          <w:spacing w:val="-1"/>
          <w:sz w:val="18"/>
          <w:szCs w:val="18"/>
        </w:rPr>
        <w:t>r</w:t>
      </w:r>
      <w:r w:rsidRPr="004B71E3">
        <w:rPr>
          <w:rFonts w:eastAsia="Calibri"/>
          <w:iCs/>
          <w:sz w:val="18"/>
          <w:szCs w:val="18"/>
        </w:rPr>
        <w:t>tic</w:t>
      </w:r>
      <w:r w:rsidRPr="004B71E3">
        <w:rPr>
          <w:rFonts w:eastAsia="Calibri"/>
          <w:iCs/>
          <w:spacing w:val="-1"/>
          <w:sz w:val="18"/>
          <w:szCs w:val="18"/>
        </w:rPr>
        <w:t>ul</w:t>
      </w:r>
      <w:r w:rsidRPr="004B71E3">
        <w:rPr>
          <w:rFonts w:eastAsia="Calibri"/>
          <w:iCs/>
          <w:sz w:val="18"/>
          <w:szCs w:val="18"/>
        </w:rPr>
        <w:t xml:space="preserve">aire. </w:t>
      </w:r>
      <w:r w:rsidRPr="004B71E3">
        <w:rPr>
          <w:sz w:val="18"/>
          <w:szCs w:val="18"/>
        </w:rPr>
        <w:t>Enfin, une application de ces supports de synthèse au traitement des effluents uranifères réels a montré que ces derniers sont</w:t>
      </w:r>
      <w:r w:rsidRPr="004B71E3">
        <w:rPr>
          <w:bCs/>
          <w:sz w:val="18"/>
          <w:szCs w:val="18"/>
        </w:rPr>
        <w:t xml:space="preserve"> de bons candidats pour une adsorption de l’uranium.</w:t>
      </w:r>
    </w:p>
    <w:p w:rsidR="00BA364F" w:rsidRDefault="00BA364F" w:rsidP="00BA364F">
      <w:pPr>
        <w:widowControl w:val="0"/>
        <w:tabs>
          <w:tab w:val="left" w:pos="820"/>
          <w:tab w:val="left" w:pos="1500"/>
          <w:tab w:val="left" w:pos="2360"/>
          <w:tab w:val="left" w:pos="3460"/>
          <w:tab w:val="left" w:pos="4360"/>
          <w:tab w:val="left" w:pos="5700"/>
          <w:tab w:val="left" w:pos="7020"/>
          <w:tab w:val="left" w:pos="8240"/>
        </w:tabs>
        <w:autoSpaceDE w:val="0"/>
        <w:autoSpaceDN w:val="0"/>
        <w:adjustRightInd w:val="0"/>
        <w:spacing w:before="120" w:after="120" w:line="360" w:lineRule="auto"/>
        <w:ind w:right="70"/>
        <w:jc w:val="both"/>
        <w:rPr>
          <w:b/>
          <w:bCs/>
          <w:iCs/>
          <w:sz w:val="18"/>
          <w:szCs w:val="18"/>
        </w:rPr>
      </w:pPr>
    </w:p>
    <w:p w:rsidR="00BC7D19" w:rsidRDefault="000A48DA"/>
    <w:sectPr w:rsidR="00BC7D19" w:rsidSect="00C040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2"/>
  </w:compat>
  <w:rsids>
    <w:rsidRoot w:val="00BA364F"/>
    <w:rsid w:val="000A48DA"/>
    <w:rsid w:val="001A718D"/>
    <w:rsid w:val="0029008B"/>
    <w:rsid w:val="003617AD"/>
    <w:rsid w:val="00473E7D"/>
    <w:rsid w:val="004A0C29"/>
    <w:rsid w:val="005826E6"/>
    <w:rsid w:val="00730EAD"/>
    <w:rsid w:val="00915539"/>
    <w:rsid w:val="00A21BBC"/>
    <w:rsid w:val="00BA364F"/>
    <w:rsid w:val="00BD57A2"/>
    <w:rsid w:val="00C0407A"/>
    <w:rsid w:val="00CA4342"/>
    <w:rsid w:val="00CD24E0"/>
    <w:rsid w:val="00CF2072"/>
    <w:rsid w:val="00D91CE7"/>
    <w:rsid w:val="00F85DCF"/>
    <w:rsid w:val="00FE71E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85D3E06-353C-4273-92FE-2FC5B11489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364F"/>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229</Words>
  <Characters>1262</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MERNACHE</dc:creator>
  <cp:keywords/>
  <dc:description/>
  <cp:lastModifiedBy>naima</cp:lastModifiedBy>
  <cp:revision>4</cp:revision>
  <dcterms:created xsi:type="dcterms:W3CDTF">2017-11-08T09:42:00Z</dcterms:created>
  <dcterms:modified xsi:type="dcterms:W3CDTF">2018-03-01T09:32:00Z</dcterms:modified>
</cp:coreProperties>
</file>