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 xml:space="preserve">Dans le cadre de ce travail, nous nous sommes proposés d'élaborer des </w:t>
      </w:r>
      <w:proofErr w:type="spellStart"/>
      <w:r w:rsidRPr="001F12FA">
        <w:rPr>
          <w:lang w:val="fr-FR" w:bidi="ar-DZ"/>
        </w:rPr>
        <w:t>nanocomposites</w:t>
      </w:r>
      <w:proofErr w:type="spellEnd"/>
      <w:r w:rsidRPr="001F12FA">
        <w:rPr>
          <w:lang w:val="fr-FR" w:bidi="ar-DZ"/>
        </w:rPr>
        <w:t xml:space="preserve"> à partir des </w:t>
      </w:r>
      <w:proofErr w:type="spellStart"/>
      <w:r w:rsidRPr="001F12FA">
        <w:rPr>
          <w:lang w:val="fr-FR" w:bidi="ar-DZ"/>
        </w:rPr>
        <w:t>comonomères</w:t>
      </w:r>
      <w:proofErr w:type="spellEnd"/>
      <w:r w:rsidRPr="001F12FA">
        <w:rPr>
          <w:lang w:val="fr-FR" w:bidi="ar-DZ"/>
        </w:rPr>
        <w:t xml:space="preserve"> méthacrylate de butyle et acide acrylique à différentes compositions, en présence d'argile pure et modifiée par le chlorure d'</w:t>
      </w:r>
      <w:proofErr w:type="spellStart"/>
      <w:r w:rsidRPr="001F12FA">
        <w:rPr>
          <w:lang w:val="fr-FR" w:bidi="ar-DZ"/>
        </w:rPr>
        <w:t>hexadécylamonium</w:t>
      </w:r>
      <w:proofErr w:type="spellEnd"/>
      <w:r w:rsidRPr="001F12FA">
        <w:rPr>
          <w:lang w:val="fr-FR" w:bidi="ar-DZ"/>
        </w:rPr>
        <w:t xml:space="preserve"> aux taux de 1 et 2% en poids, suivant deux méthodes de préparation différentes. 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>La première méthode, consiste à mélanger les copolymères poly (méthacrylate de butyle-</w:t>
      </w:r>
      <w:proofErr w:type="spellStart"/>
      <w:r w:rsidRPr="001F12FA">
        <w:rPr>
          <w:lang w:val="fr-FR" w:bidi="ar-DZ"/>
        </w:rPr>
        <w:t>co</w:t>
      </w:r>
      <w:proofErr w:type="spellEnd"/>
      <w:r w:rsidRPr="001F12FA">
        <w:rPr>
          <w:lang w:val="fr-FR" w:bidi="ar-DZ"/>
        </w:rPr>
        <w:t xml:space="preserve">-acide acrylique) BMAA-x (où x est respectivement égal à 05, 08, 11 % en moles d'acide acrylique), synthétisés par voie radicalaire, avec la bentonite pure PBT et modifiée OBT, par dispersion en solution respectivement.  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 xml:space="preserve">Quant à la deuxième méthode, celle-ci prévoit la mise au point de </w:t>
      </w:r>
      <w:proofErr w:type="spellStart"/>
      <w:r w:rsidRPr="001F12FA">
        <w:rPr>
          <w:lang w:val="fr-FR" w:bidi="ar-DZ"/>
        </w:rPr>
        <w:t>nanocomposites</w:t>
      </w:r>
      <w:proofErr w:type="spellEnd"/>
      <w:r w:rsidRPr="001F12FA">
        <w:rPr>
          <w:lang w:val="fr-FR" w:bidi="ar-DZ"/>
        </w:rPr>
        <w:t xml:space="preserve"> par la copolymérisation radicalaire in situ des </w:t>
      </w:r>
      <w:proofErr w:type="spellStart"/>
      <w:r w:rsidRPr="001F12FA">
        <w:rPr>
          <w:lang w:val="fr-FR" w:bidi="ar-DZ"/>
        </w:rPr>
        <w:t>comonomères</w:t>
      </w:r>
      <w:proofErr w:type="spellEnd"/>
      <w:r w:rsidRPr="001F12FA">
        <w:rPr>
          <w:lang w:val="fr-FR" w:bidi="ar-DZ"/>
        </w:rPr>
        <w:t xml:space="preserve"> méthacrylate de butyle et d'acide acrylique en présence d'argiles PBT et OBT respectivement. 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 xml:space="preserve">Les matériaux élaborés sont ensuite caractérisés par spectroscopie infrarouge à transformée de Fourier (FTIR), par diffraction aux rayons X (DRX), par analyse thermogravimétrique (ATG), par analyse </w:t>
      </w:r>
      <w:proofErr w:type="spellStart"/>
      <w:r w:rsidRPr="001F12FA">
        <w:rPr>
          <w:lang w:val="fr-FR" w:bidi="ar-DZ"/>
        </w:rPr>
        <w:t>enthalpique</w:t>
      </w:r>
      <w:proofErr w:type="spellEnd"/>
      <w:r w:rsidRPr="001F12FA">
        <w:rPr>
          <w:lang w:val="fr-FR" w:bidi="ar-DZ"/>
        </w:rPr>
        <w:t xml:space="preserve"> différentielle (DSC) et par microscopie électronique à balayage (MEB). 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>Les résultats obtenus montrent :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 xml:space="preserve">-  la présence de faibles quantités d'argile dans les matrices polymériques a été mise en évidence par FTIR. 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>- l'existence d'états intercalés et/ou mixtes (intercalé et exfolié) de l'argile observés par DRX.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 xml:space="preserve">- Par ATG, l'augmentation de températures maximales de dégradation </w:t>
      </w:r>
      <w:proofErr w:type="spellStart"/>
      <w:r w:rsidRPr="001F12FA">
        <w:rPr>
          <w:lang w:val="fr-FR" w:bidi="ar-DZ"/>
        </w:rPr>
        <w:t>Tdmax</w:t>
      </w:r>
      <w:proofErr w:type="spellEnd"/>
      <w:r w:rsidRPr="001F12FA">
        <w:rPr>
          <w:lang w:val="fr-FR" w:bidi="ar-DZ"/>
        </w:rPr>
        <w:t xml:space="preserve"> et la présence de résidus dans les </w:t>
      </w:r>
      <w:proofErr w:type="spellStart"/>
      <w:r w:rsidRPr="001F12FA">
        <w:rPr>
          <w:lang w:val="fr-FR" w:bidi="ar-DZ"/>
        </w:rPr>
        <w:t>thermogrammes</w:t>
      </w:r>
      <w:proofErr w:type="spellEnd"/>
      <w:r w:rsidRPr="001F12FA">
        <w:rPr>
          <w:lang w:val="fr-FR" w:bidi="ar-DZ"/>
        </w:rPr>
        <w:t>, est une indication de l'amélioration de la stabilité thermique de ces matériaux.</w:t>
      </w:r>
    </w:p>
    <w:p w:rsidR="001F12FA" w:rsidRPr="001F12FA" w:rsidRDefault="001F12FA" w:rsidP="001F12FA">
      <w:pPr>
        <w:bidi w:val="0"/>
        <w:rPr>
          <w:lang w:val="fr-FR" w:bidi="ar-DZ"/>
        </w:rPr>
      </w:pPr>
      <w:r w:rsidRPr="001F12FA">
        <w:rPr>
          <w:lang w:val="fr-FR" w:bidi="ar-DZ"/>
        </w:rPr>
        <w:t xml:space="preserve">- Par DSC, la diminution des températures de transition vitreuses Tg des matériaux BMAA-x/PBT ou BMAA-x/OBT par rapport à celles des copolymères purs. </w:t>
      </w:r>
    </w:p>
    <w:p w:rsidR="00C37882" w:rsidRPr="001F12FA" w:rsidRDefault="001F12FA" w:rsidP="001F12FA">
      <w:pPr>
        <w:bidi w:val="0"/>
        <w:rPr>
          <w:rFonts w:hint="cs"/>
          <w:lang w:val="fr-FR" w:bidi="ar-DZ"/>
        </w:rPr>
      </w:pPr>
      <w:r w:rsidRPr="001F12FA">
        <w:rPr>
          <w:lang w:val="fr-FR" w:bidi="ar-DZ"/>
        </w:rPr>
        <w:t>- Par MEB, une dispersion homogène de l'argile dans les matrices polymériques.</w:t>
      </w:r>
    </w:p>
    <w:sectPr w:rsidR="00C37882" w:rsidRPr="001F12F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1F12FA"/>
    <w:rsid w:val="001F12FA"/>
    <w:rsid w:val="005F47AF"/>
    <w:rsid w:val="00C37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788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1564</Characters>
  <Application>Microsoft Office Word</Application>
  <DocSecurity>0</DocSecurity>
  <Lines>13</Lines>
  <Paragraphs>3</Paragraphs>
  <ScaleCrop>false</ScaleCrop>
  <Company/>
  <LinksUpToDate>false</LinksUpToDate>
  <CharactersWithSpaces>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2015-11-25T09:24:00Z</dcterms:created>
  <dcterms:modified xsi:type="dcterms:W3CDTF">2015-11-25T09:24:00Z</dcterms:modified>
</cp:coreProperties>
</file>