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3893" w:rsidRPr="00A53893" w:rsidRDefault="00A53893" w:rsidP="00A53893">
      <w:pPr>
        <w:jc w:val="both"/>
        <w:rPr>
          <w:b/>
        </w:rPr>
      </w:pPr>
      <w:r w:rsidRPr="00A53893">
        <w:rPr>
          <w:b/>
        </w:rPr>
        <w:t>Résumé</w:t>
      </w:r>
    </w:p>
    <w:p w:rsidR="00241C9C" w:rsidRDefault="00A53893" w:rsidP="00A53893">
      <w:pPr>
        <w:jc w:val="both"/>
      </w:pPr>
      <w:r>
        <w:t xml:space="preserve">Deux aspects caractérisent la conscience : le niveau et le contenu où l’un varie de l’état de veille au coma total dans le cas du Traumatisme crânien (TC) sévère, et l’autre correspond à l’ensemble des processus sensori-moteurs et cognitifs, respectivement. L’intégrité de la conscience est le résultat de l’interaction de réseaux cérébraux large échelle, constitués de faisceaux d’axones, interconnectant les différents centres corticaux fonctionnels entre eux et avec des structures sous-corticales. Dans le cas du TC, ces réseaux sont souvent lésés de façon diffuse, altérant les communications entre les régions citées supra, se traduisant par des déficits divers allant jusqu’au coma. L’étude de ces lésions permet l’identification du substrat anatomique des circuits cérébraux de la conscience. Notre travail a consisté à trouver des </w:t>
      </w:r>
      <w:proofErr w:type="spellStart"/>
      <w:r>
        <w:t>biomarqueurs</w:t>
      </w:r>
      <w:proofErr w:type="spellEnd"/>
      <w:r>
        <w:t xml:space="preserve"> à l’aide de l’IRM de diffusion, technique idoine pour sonder la substance blanche, plus exactement ses sous-produits, l’imagerie du tenseur de diffusion (DTI), l’imagerie Q-Ball (QBI) et la </w:t>
      </w:r>
      <w:proofErr w:type="spellStart"/>
      <w:r>
        <w:t>tractographie</w:t>
      </w:r>
      <w:proofErr w:type="spellEnd"/>
      <w:r>
        <w:t xml:space="preserve"> probabiliste </w:t>
      </w:r>
      <w:proofErr w:type="spellStart"/>
      <w:r>
        <w:t>bayésienne</w:t>
      </w:r>
      <w:proofErr w:type="spellEnd"/>
      <w:r>
        <w:t>. Nous avons utilisé ces techniques pour étudier la connectivité dans certaines régions cérébrales montrant des profils de connectivité particuliers, à l’instar de l’interface matières blanche/grise et les croisements des faisceaux de la cognition. Notre intérêt s’est porté alors sur les circuits ponto-</w:t>
      </w:r>
      <w:proofErr w:type="spellStart"/>
      <w:r>
        <w:t>thalamo</w:t>
      </w:r>
      <w:proofErr w:type="spellEnd"/>
      <w:r>
        <w:t xml:space="preserve">-corticaux, à cause de leur implication dans le niveau de la conscience et ceci dans le but de quantifier les désafférentations sous corticales. Ces études sont effectuées par des analyses statistiques à l’échelle </w:t>
      </w:r>
      <w:proofErr w:type="spellStart"/>
      <w:r>
        <w:t>voxelique</w:t>
      </w:r>
      <w:proofErr w:type="spellEnd"/>
      <w:r>
        <w:t xml:space="preserve"> en utilisant des tests non paramétriques de permutation entre groupes de sujets, dans le but d’extraire des indices marqueurs du pronostic chez le TC sévère. Pour isoler les faisceaux qui se croisent, nous avons proposé un algorithme heuristique, le Hill </w:t>
      </w:r>
      <w:proofErr w:type="spellStart"/>
      <w:r>
        <w:t>Climbing</w:t>
      </w:r>
      <w:proofErr w:type="spellEnd"/>
      <w:r>
        <w:t>, ayant permis la reconstruction des différents faisceaux. Nous avons aussi proposé un indice basé sur la densité des fibres qui s’est révélé corrélé avec le pronostic chez le TC sévère.</w:t>
      </w:r>
    </w:p>
    <w:sectPr w:rsidR="00241C9C">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A53893"/>
    <w:rsid w:val="00241C9C"/>
    <w:rsid w:val="00A53893"/>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318</Words>
  <Characters>1754</Characters>
  <Application>Microsoft Office Word</Application>
  <DocSecurity>0</DocSecurity>
  <Lines>14</Lines>
  <Paragraphs>4</Paragraphs>
  <ScaleCrop>false</ScaleCrop>
  <Company/>
  <LinksUpToDate>false</LinksUpToDate>
  <CharactersWithSpaces>2068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makhlouf</dc:creator>
  <cp:keywords/>
  <dc:description/>
  <cp:lastModifiedBy>makhlouf</cp:lastModifiedBy>
  <cp:revision>2</cp:revision>
  <dcterms:created xsi:type="dcterms:W3CDTF">2015-07-02T01:28:00Z</dcterms:created>
  <dcterms:modified xsi:type="dcterms:W3CDTF">2015-07-02T01:28:00Z</dcterms:modified>
</cp:coreProperties>
</file>