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96EE0" w:rsidRPr="009C75A7" w:rsidRDefault="00396EE0" w:rsidP="00920D18">
      <w:pPr>
        <w:spacing w:before="24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9C75A7">
        <w:rPr>
          <w:rFonts w:ascii="Times New Roman" w:hAnsi="Times New Roman" w:cs="Times New Roman"/>
          <w:b/>
          <w:sz w:val="24"/>
          <w:szCs w:val="24"/>
        </w:rPr>
        <w:t>Résumé</w:t>
      </w:r>
      <w:r w:rsidR="00920D18" w:rsidRPr="009C75A7">
        <w:rPr>
          <w:rFonts w:ascii="Times New Roman" w:hAnsi="Times New Roman" w:cs="Times New Roman"/>
          <w:b/>
          <w:sz w:val="24"/>
          <w:szCs w:val="24"/>
        </w:rPr>
        <w:t xml:space="preserve"> de thèse de Doctorat</w:t>
      </w:r>
      <w:r w:rsidRPr="009C75A7">
        <w:rPr>
          <w:rFonts w:ascii="Times New Roman" w:hAnsi="Times New Roman" w:cs="Times New Roman"/>
          <w:b/>
          <w:sz w:val="24"/>
          <w:szCs w:val="24"/>
        </w:rPr>
        <w:t> :</w:t>
      </w:r>
    </w:p>
    <w:p w:rsidR="00396EE0" w:rsidRPr="009C75A7" w:rsidRDefault="00396EE0" w:rsidP="00B90DF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C75A7">
        <w:rPr>
          <w:rFonts w:ascii="Times New Roman" w:hAnsi="Times New Roman" w:cs="Times New Roman"/>
          <w:sz w:val="24"/>
          <w:szCs w:val="24"/>
        </w:rPr>
        <w:t xml:space="preserve">Ce travail représente la première initiative visant à analyser la distribution de </w:t>
      </w:r>
      <w:r w:rsidRPr="009C75A7">
        <w:rPr>
          <w:rFonts w:ascii="Times New Roman" w:hAnsi="Times New Roman" w:cs="Times New Roman"/>
          <w:i/>
          <w:sz w:val="24"/>
          <w:szCs w:val="24"/>
        </w:rPr>
        <w:t xml:space="preserve">B. </w:t>
      </w:r>
      <w:proofErr w:type="spellStart"/>
      <w:r w:rsidRPr="009C75A7">
        <w:rPr>
          <w:rFonts w:ascii="Times New Roman" w:hAnsi="Times New Roman" w:cs="Times New Roman"/>
          <w:i/>
          <w:sz w:val="24"/>
          <w:szCs w:val="24"/>
        </w:rPr>
        <w:t>thuringiensis</w:t>
      </w:r>
      <w:proofErr w:type="spellEnd"/>
      <w:r w:rsidRPr="009C75A7">
        <w:rPr>
          <w:rFonts w:ascii="Times New Roman" w:hAnsi="Times New Roman" w:cs="Times New Roman"/>
          <w:sz w:val="24"/>
          <w:szCs w:val="24"/>
        </w:rPr>
        <w:t xml:space="preserve"> en Algérie et à évaluer son potentiel biologique. Au total, 157 souches ont été isolées, avec un recouvrement de 94,4% des échantillons. </w:t>
      </w:r>
      <w:r w:rsidR="007E3387">
        <w:rPr>
          <w:rFonts w:ascii="Times New Roman" w:hAnsi="Times New Roman" w:cs="Times New Roman"/>
          <w:sz w:val="24"/>
          <w:szCs w:val="24"/>
        </w:rPr>
        <w:t>« </w:t>
      </w:r>
      <w:r w:rsidRPr="009C75A7">
        <w:rPr>
          <w:rFonts w:ascii="Times New Roman" w:hAnsi="Times New Roman" w:cs="Times New Roman"/>
          <w:sz w:val="24"/>
          <w:szCs w:val="24"/>
        </w:rPr>
        <w:t>L'indice</w:t>
      </w:r>
      <w:r w:rsidR="00920D18" w:rsidRPr="009C75A7">
        <w:rPr>
          <w:rFonts w:ascii="Times New Roman" w:hAnsi="Times New Roman" w:cs="Times New Roman"/>
          <w:sz w:val="24"/>
          <w:szCs w:val="24"/>
        </w:rPr>
        <w:t xml:space="preserve"> du </w:t>
      </w:r>
      <w:proofErr w:type="spellStart"/>
      <w:r w:rsidR="00920D18" w:rsidRPr="009C75A7">
        <w:rPr>
          <w:rFonts w:ascii="Times New Roman" w:hAnsi="Times New Roman" w:cs="Times New Roman"/>
          <w:sz w:val="24"/>
          <w:szCs w:val="24"/>
        </w:rPr>
        <w:t>B</w:t>
      </w:r>
      <w:r w:rsidRPr="009C75A7">
        <w:rPr>
          <w:rFonts w:ascii="Times New Roman" w:hAnsi="Times New Roman" w:cs="Times New Roman"/>
          <w:sz w:val="24"/>
          <w:szCs w:val="24"/>
        </w:rPr>
        <w:t>t</w:t>
      </w:r>
      <w:proofErr w:type="spellEnd"/>
      <w:r w:rsidR="007E3387">
        <w:rPr>
          <w:rFonts w:ascii="Times New Roman" w:hAnsi="Times New Roman" w:cs="Times New Roman"/>
          <w:sz w:val="24"/>
          <w:szCs w:val="24"/>
        </w:rPr>
        <w:t> »</w:t>
      </w:r>
      <w:r w:rsidR="00B90DF3">
        <w:rPr>
          <w:rFonts w:ascii="Times New Roman" w:hAnsi="Times New Roman" w:cs="Times New Roman"/>
          <w:sz w:val="24"/>
          <w:szCs w:val="24"/>
        </w:rPr>
        <w:t xml:space="preserve"> </w:t>
      </w:r>
      <w:r w:rsidRPr="009C75A7">
        <w:rPr>
          <w:rFonts w:ascii="Times New Roman" w:hAnsi="Times New Roman" w:cs="Times New Roman"/>
          <w:sz w:val="24"/>
          <w:szCs w:val="24"/>
        </w:rPr>
        <w:t xml:space="preserve">le plus élevé a été </w:t>
      </w:r>
      <w:r w:rsidR="006A7720" w:rsidRPr="009C75A7">
        <w:rPr>
          <w:rFonts w:ascii="Times New Roman" w:hAnsi="Times New Roman" w:cs="Times New Roman"/>
          <w:sz w:val="24"/>
          <w:szCs w:val="24"/>
        </w:rPr>
        <w:t>signalé</w:t>
      </w:r>
      <w:r w:rsidRPr="009C75A7">
        <w:rPr>
          <w:rFonts w:ascii="Times New Roman" w:hAnsi="Times New Roman" w:cs="Times New Roman"/>
          <w:sz w:val="24"/>
          <w:szCs w:val="24"/>
        </w:rPr>
        <w:t xml:space="preserve"> dans les échantillons provenant du sol </w:t>
      </w:r>
      <w:proofErr w:type="spellStart"/>
      <w:r w:rsidRPr="009C75A7">
        <w:rPr>
          <w:rFonts w:ascii="Times New Roman" w:hAnsi="Times New Roman" w:cs="Times New Roman"/>
          <w:sz w:val="24"/>
          <w:szCs w:val="24"/>
        </w:rPr>
        <w:t>rhizosphérique</w:t>
      </w:r>
      <w:proofErr w:type="spellEnd"/>
      <w:r w:rsidRPr="009C75A7">
        <w:rPr>
          <w:rFonts w:ascii="Times New Roman" w:hAnsi="Times New Roman" w:cs="Times New Roman"/>
          <w:sz w:val="24"/>
          <w:szCs w:val="24"/>
        </w:rPr>
        <w:t xml:space="preserve"> (0,48) et de la zone méditerranéenne (0,44). La plupart des souches ont montré une activité antifongique (98,5%), contrairement à l’activité antibactérienne (29,9% des souches seulement). Une forte diversité </w:t>
      </w:r>
      <w:r w:rsidR="00400F78">
        <w:rPr>
          <w:rFonts w:ascii="Times New Roman" w:hAnsi="Times New Roman" w:cs="Times New Roman"/>
          <w:sz w:val="24"/>
          <w:szCs w:val="24"/>
        </w:rPr>
        <w:t>phénotypique/</w:t>
      </w:r>
      <w:r w:rsidRPr="009C75A7">
        <w:rPr>
          <w:rFonts w:ascii="Times New Roman" w:hAnsi="Times New Roman" w:cs="Times New Roman"/>
          <w:sz w:val="24"/>
          <w:szCs w:val="24"/>
        </w:rPr>
        <w:t xml:space="preserve">génétique a été mise en évidence par la </w:t>
      </w:r>
      <w:r w:rsidR="00B90DF3">
        <w:rPr>
          <w:rFonts w:ascii="Times New Roman" w:hAnsi="Times New Roman" w:cs="Times New Roman"/>
          <w:sz w:val="24"/>
          <w:szCs w:val="24"/>
        </w:rPr>
        <w:t>présence</w:t>
      </w:r>
      <w:r w:rsidRPr="009C75A7">
        <w:rPr>
          <w:rFonts w:ascii="Times New Roman" w:hAnsi="Times New Roman" w:cs="Times New Roman"/>
          <w:sz w:val="24"/>
          <w:szCs w:val="24"/>
        </w:rPr>
        <w:t xml:space="preserve"> de différentes formes des cristaux et </w:t>
      </w:r>
      <w:r w:rsidR="00B90DF3">
        <w:rPr>
          <w:rFonts w:ascii="Times New Roman" w:hAnsi="Times New Roman" w:cs="Times New Roman"/>
          <w:sz w:val="24"/>
          <w:szCs w:val="24"/>
        </w:rPr>
        <w:t>de</w:t>
      </w:r>
      <w:r w:rsidRPr="009C75A7">
        <w:rPr>
          <w:rFonts w:ascii="Times New Roman" w:hAnsi="Times New Roman" w:cs="Times New Roman"/>
          <w:sz w:val="24"/>
          <w:szCs w:val="24"/>
        </w:rPr>
        <w:t xml:space="preserve"> diverses combinaisons de formes </w:t>
      </w:r>
      <w:r w:rsidR="00920D18" w:rsidRPr="009C75A7">
        <w:rPr>
          <w:rFonts w:ascii="Times New Roman" w:hAnsi="Times New Roman" w:cs="Times New Roman"/>
          <w:sz w:val="24"/>
          <w:szCs w:val="24"/>
        </w:rPr>
        <w:t>au sein d’une seule souche</w:t>
      </w:r>
      <w:r w:rsidRPr="009C75A7">
        <w:rPr>
          <w:rFonts w:ascii="Times New Roman" w:hAnsi="Times New Roman" w:cs="Times New Roman"/>
          <w:sz w:val="24"/>
          <w:szCs w:val="24"/>
        </w:rPr>
        <w:t xml:space="preserve"> (dans 58,4% des </w:t>
      </w:r>
      <w:r w:rsidR="00E97A32" w:rsidRPr="009C75A7">
        <w:rPr>
          <w:rFonts w:ascii="Times New Roman" w:hAnsi="Times New Roman" w:cs="Times New Roman"/>
          <w:sz w:val="24"/>
          <w:szCs w:val="24"/>
        </w:rPr>
        <w:t>souches</w:t>
      </w:r>
      <w:r w:rsidRPr="009C75A7">
        <w:rPr>
          <w:rFonts w:ascii="Times New Roman" w:hAnsi="Times New Roman" w:cs="Times New Roman"/>
          <w:sz w:val="24"/>
          <w:szCs w:val="24"/>
        </w:rPr>
        <w:t xml:space="preserve">). En outre, plus de 50% des souches présentaient les gènes </w:t>
      </w:r>
      <w:r w:rsidRPr="009C75A7">
        <w:rPr>
          <w:rFonts w:ascii="Times New Roman" w:hAnsi="Times New Roman" w:cs="Times New Roman"/>
          <w:i/>
          <w:sz w:val="24"/>
          <w:szCs w:val="24"/>
        </w:rPr>
        <w:t>cry1</w:t>
      </w:r>
      <w:r w:rsidRPr="009C75A7">
        <w:rPr>
          <w:rFonts w:ascii="Times New Roman" w:hAnsi="Times New Roman" w:cs="Times New Roman"/>
          <w:sz w:val="24"/>
          <w:szCs w:val="24"/>
        </w:rPr>
        <w:t xml:space="preserve">, </w:t>
      </w:r>
      <w:r w:rsidRPr="009C75A7">
        <w:rPr>
          <w:rFonts w:ascii="Times New Roman" w:hAnsi="Times New Roman" w:cs="Times New Roman"/>
          <w:i/>
          <w:sz w:val="24"/>
          <w:szCs w:val="24"/>
        </w:rPr>
        <w:t>cry2</w:t>
      </w:r>
      <w:r w:rsidRPr="009C75A7">
        <w:rPr>
          <w:rFonts w:ascii="Times New Roman" w:hAnsi="Times New Roman" w:cs="Times New Roman"/>
          <w:sz w:val="24"/>
          <w:szCs w:val="24"/>
        </w:rPr>
        <w:t xml:space="preserve"> ou </w:t>
      </w:r>
      <w:r w:rsidRPr="009C75A7">
        <w:rPr>
          <w:rFonts w:ascii="Times New Roman" w:hAnsi="Times New Roman" w:cs="Times New Roman"/>
          <w:i/>
          <w:sz w:val="24"/>
          <w:szCs w:val="24"/>
        </w:rPr>
        <w:t>cry9</w:t>
      </w:r>
      <w:r w:rsidRPr="009C75A7">
        <w:rPr>
          <w:rFonts w:ascii="Times New Roman" w:hAnsi="Times New Roman" w:cs="Times New Roman"/>
          <w:sz w:val="24"/>
          <w:szCs w:val="24"/>
        </w:rPr>
        <w:t xml:space="preserve"> et 69,3% avaient le gène </w:t>
      </w:r>
      <w:r w:rsidRPr="009C75A7">
        <w:rPr>
          <w:rFonts w:ascii="Times New Roman" w:hAnsi="Times New Roman" w:cs="Times New Roman"/>
          <w:i/>
          <w:sz w:val="24"/>
          <w:szCs w:val="24"/>
        </w:rPr>
        <w:t>vip3</w:t>
      </w:r>
      <w:r w:rsidRPr="009C75A7">
        <w:rPr>
          <w:rFonts w:ascii="Times New Roman" w:hAnsi="Times New Roman" w:cs="Times New Roman"/>
          <w:sz w:val="24"/>
          <w:szCs w:val="24"/>
        </w:rPr>
        <w:t xml:space="preserve">. Une bonne corrélation entre la présence des gènes de </w:t>
      </w:r>
      <w:proofErr w:type="spellStart"/>
      <w:r w:rsidRPr="009C75A7">
        <w:rPr>
          <w:rFonts w:ascii="Times New Roman" w:hAnsi="Times New Roman" w:cs="Times New Roman"/>
          <w:sz w:val="24"/>
          <w:szCs w:val="24"/>
        </w:rPr>
        <w:t>chitinase</w:t>
      </w:r>
      <w:proofErr w:type="spellEnd"/>
      <w:r w:rsidRPr="009C75A7">
        <w:rPr>
          <w:rFonts w:ascii="Times New Roman" w:hAnsi="Times New Roman" w:cs="Times New Roman"/>
          <w:sz w:val="24"/>
          <w:szCs w:val="24"/>
        </w:rPr>
        <w:t xml:space="preserve"> et l'activité antifongique a été observée. Le profil génétique global a permis de sélectionner </w:t>
      </w:r>
      <w:r w:rsidR="00B90DF3">
        <w:rPr>
          <w:rFonts w:ascii="Times New Roman" w:hAnsi="Times New Roman" w:cs="Times New Roman"/>
          <w:sz w:val="24"/>
          <w:szCs w:val="24"/>
        </w:rPr>
        <w:t xml:space="preserve">11 souches </w:t>
      </w:r>
      <w:r w:rsidR="007E3387">
        <w:rPr>
          <w:rFonts w:ascii="Times New Roman" w:hAnsi="Times New Roman" w:cs="Times New Roman"/>
          <w:sz w:val="24"/>
          <w:szCs w:val="24"/>
        </w:rPr>
        <w:t xml:space="preserve">ayant </w:t>
      </w:r>
      <w:r w:rsidR="00B90DF3">
        <w:rPr>
          <w:rFonts w:ascii="Times New Roman" w:hAnsi="Times New Roman" w:cs="Times New Roman"/>
          <w:sz w:val="24"/>
          <w:szCs w:val="24"/>
        </w:rPr>
        <w:t>tous les gènes analysés (</w:t>
      </w:r>
      <w:r w:rsidR="00B90DF3" w:rsidRPr="00B90DF3">
        <w:rPr>
          <w:rFonts w:ascii="Times New Roman" w:hAnsi="Times New Roman" w:cs="Times New Roman"/>
          <w:i/>
          <w:sz w:val="24"/>
          <w:szCs w:val="24"/>
        </w:rPr>
        <w:t>cry1</w:t>
      </w:r>
      <w:r w:rsidR="00B90DF3">
        <w:rPr>
          <w:rFonts w:ascii="Times New Roman" w:hAnsi="Times New Roman" w:cs="Times New Roman"/>
          <w:sz w:val="24"/>
          <w:szCs w:val="24"/>
        </w:rPr>
        <w:t xml:space="preserve">, </w:t>
      </w:r>
      <w:r w:rsidR="00B90DF3" w:rsidRPr="00B90DF3">
        <w:rPr>
          <w:rFonts w:ascii="Times New Roman" w:hAnsi="Times New Roman" w:cs="Times New Roman"/>
          <w:i/>
          <w:sz w:val="24"/>
          <w:szCs w:val="24"/>
        </w:rPr>
        <w:t>cry2</w:t>
      </w:r>
      <w:r w:rsidR="00B90DF3">
        <w:rPr>
          <w:rFonts w:ascii="Times New Roman" w:hAnsi="Times New Roman" w:cs="Times New Roman"/>
          <w:sz w:val="24"/>
          <w:szCs w:val="24"/>
        </w:rPr>
        <w:t xml:space="preserve">, </w:t>
      </w:r>
      <w:r w:rsidR="00B90DF3" w:rsidRPr="00B90DF3">
        <w:rPr>
          <w:rFonts w:ascii="Times New Roman" w:hAnsi="Times New Roman" w:cs="Times New Roman"/>
          <w:i/>
          <w:sz w:val="24"/>
          <w:szCs w:val="24"/>
        </w:rPr>
        <w:t>cry9</w:t>
      </w:r>
      <w:r w:rsidR="00B90DF3">
        <w:rPr>
          <w:rFonts w:ascii="Times New Roman" w:hAnsi="Times New Roman" w:cs="Times New Roman"/>
          <w:sz w:val="24"/>
          <w:szCs w:val="24"/>
        </w:rPr>
        <w:t xml:space="preserve">, </w:t>
      </w:r>
      <w:r w:rsidR="00B90DF3" w:rsidRPr="00B90DF3">
        <w:rPr>
          <w:rFonts w:ascii="Times New Roman" w:hAnsi="Times New Roman" w:cs="Times New Roman"/>
          <w:i/>
          <w:sz w:val="24"/>
          <w:szCs w:val="24"/>
        </w:rPr>
        <w:t>vip3</w:t>
      </w:r>
      <w:r w:rsidR="00B90DF3">
        <w:rPr>
          <w:rFonts w:ascii="Times New Roman" w:hAnsi="Times New Roman" w:cs="Times New Roman"/>
          <w:sz w:val="24"/>
          <w:szCs w:val="24"/>
        </w:rPr>
        <w:t>, exo</w:t>
      </w:r>
      <w:r w:rsidR="007E3387">
        <w:rPr>
          <w:rFonts w:ascii="Times New Roman" w:hAnsi="Times New Roman" w:cs="Times New Roman"/>
          <w:sz w:val="24"/>
          <w:szCs w:val="24"/>
        </w:rPr>
        <w:t xml:space="preserve">- et </w:t>
      </w:r>
      <w:proofErr w:type="spellStart"/>
      <w:r w:rsidR="007E3387">
        <w:rPr>
          <w:rFonts w:ascii="Times New Roman" w:hAnsi="Times New Roman" w:cs="Times New Roman"/>
          <w:sz w:val="24"/>
          <w:szCs w:val="24"/>
        </w:rPr>
        <w:t>endo-</w:t>
      </w:r>
      <w:r w:rsidR="00B90DF3">
        <w:rPr>
          <w:rFonts w:ascii="Times New Roman" w:hAnsi="Times New Roman" w:cs="Times New Roman"/>
          <w:sz w:val="24"/>
          <w:szCs w:val="24"/>
        </w:rPr>
        <w:t>chitinase</w:t>
      </w:r>
      <w:proofErr w:type="spellEnd"/>
      <w:r w:rsidR="00B90DF3">
        <w:rPr>
          <w:rFonts w:ascii="Times New Roman" w:hAnsi="Times New Roman" w:cs="Times New Roman"/>
          <w:sz w:val="24"/>
          <w:szCs w:val="24"/>
        </w:rPr>
        <w:t>)</w:t>
      </w:r>
      <w:r w:rsidRPr="009C75A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90DF3" w:rsidRDefault="00D03733" w:rsidP="00B90DF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La toxicité </w:t>
      </w:r>
      <w:r w:rsidRPr="009C75A7">
        <w:rPr>
          <w:rFonts w:ascii="Times New Roman" w:hAnsi="Times New Roman" w:cs="Times New Roman"/>
          <w:sz w:val="24"/>
          <w:szCs w:val="24"/>
        </w:rPr>
        <w:t>du complexe « cristaux-spores » (culot) et du surnageant (Vip3 et autres protéines solubles)</w:t>
      </w:r>
      <w:r>
        <w:rPr>
          <w:rFonts w:ascii="Times New Roman" w:hAnsi="Times New Roman" w:cs="Times New Roman"/>
          <w:sz w:val="24"/>
          <w:szCs w:val="24"/>
        </w:rPr>
        <w:t xml:space="preserve"> a été testée vis-à-vis </w:t>
      </w:r>
      <w:r w:rsidRPr="009C75A7">
        <w:rPr>
          <w:rFonts w:ascii="Times New Roman" w:hAnsi="Times New Roman" w:cs="Times New Roman"/>
          <w:sz w:val="24"/>
          <w:szCs w:val="24"/>
        </w:rPr>
        <w:t xml:space="preserve">des larves </w:t>
      </w:r>
      <w:r w:rsidR="007E3387">
        <w:rPr>
          <w:rFonts w:ascii="Times New Roman" w:hAnsi="Times New Roman" w:cs="Times New Roman"/>
          <w:sz w:val="24"/>
          <w:szCs w:val="24"/>
        </w:rPr>
        <w:t>nouveau-nées</w:t>
      </w:r>
      <w:r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9C75A7">
        <w:rPr>
          <w:rFonts w:ascii="Times New Roman" w:hAnsi="Times New Roman" w:cs="Times New Roman"/>
          <w:i/>
          <w:sz w:val="24"/>
          <w:szCs w:val="24"/>
        </w:rPr>
        <w:t>Mamestra</w:t>
      </w:r>
      <w:proofErr w:type="spellEnd"/>
      <w:r w:rsidRPr="009C75A7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C75A7">
        <w:rPr>
          <w:rFonts w:ascii="Times New Roman" w:hAnsi="Times New Roman" w:cs="Times New Roman"/>
          <w:i/>
          <w:sz w:val="24"/>
          <w:szCs w:val="24"/>
        </w:rPr>
        <w:t>brassicae</w:t>
      </w:r>
      <w:proofErr w:type="spellEnd"/>
      <w:r w:rsidRPr="009C75A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C75A7">
        <w:rPr>
          <w:rFonts w:ascii="Times New Roman" w:hAnsi="Times New Roman" w:cs="Times New Roman"/>
          <w:i/>
          <w:sz w:val="24"/>
          <w:szCs w:val="24"/>
        </w:rPr>
        <w:t>Grapholita</w:t>
      </w:r>
      <w:proofErr w:type="spellEnd"/>
      <w:r w:rsidRPr="009C75A7">
        <w:rPr>
          <w:rFonts w:ascii="Times New Roman" w:hAnsi="Times New Roman" w:cs="Times New Roman"/>
          <w:i/>
          <w:sz w:val="24"/>
          <w:szCs w:val="24"/>
        </w:rPr>
        <w:t xml:space="preserve"> molesta</w:t>
      </w:r>
      <w:r w:rsidRPr="009C75A7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9C75A7">
        <w:rPr>
          <w:rFonts w:ascii="Times New Roman" w:hAnsi="Times New Roman" w:cs="Times New Roman"/>
          <w:i/>
          <w:sz w:val="24"/>
          <w:szCs w:val="24"/>
        </w:rPr>
        <w:t>Spodoptera</w:t>
      </w:r>
      <w:proofErr w:type="spellEnd"/>
      <w:r w:rsidRPr="009C75A7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C75A7">
        <w:rPr>
          <w:rFonts w:ascii="Times New Roman" w:hAnsi="Times New Roman" w:cs="Times New Roman"/>
          <w:i/>
          <w:sz w:val="24"/>
          <w:szCs w:val="24"/>
        </w:rPr>
        <w:t>exigua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396EE0" w:rsidRPr="009C75A7">
        <w:rPr>
          <w:rFonts w:ascii="Times New Roman" w:hAnsi="Times New Roman" w:cs="Times New Roman"/>
          <w:sz w:val="24"/>
          <w:szCs w:val="24"/>
        </w:rPr>
        <w:t xml:space="preserve">Ainsi, trois souches de </w:t>
      </w:r>
      <w:r w:rsidR="00396EE0" w:rsidRPr="009C75A7">
        <w:rPr>
          <w:rFonts w:ascii="Times New Roman" w:hAnsi="Times New Roman" w:cs="Times New Roman"/>
          <w:i/>
          <w:sz w:val="24"/>
          <w:szCs w:val="24"/>
        </w:rPr>
        <w:t xml:space="preserve">B. </w:t>
      </w:r>
      <w:proofErr w:type="spellStart"/>
      <w:r w:rsidR="00396EE0" w:rsidRPr="009C75A7">
        <w:rPr>
          <w:rFonts w:ascii="Times New Roman" w:hAnsi="Times New Roman" w:cs="Times New Roman"/>
          <w:i/>
          <w:sz w:val="24"/>
          <w:szCs w:val="24"/>
        </w:rPr>
        <w:t>thuringiensis</w:t>
      </w:r>
      <w:proofErr w:type="spellEnd"/>
      <w:r w:rsidR="00396EE0" w:rsidRPr="009C75A7">
        <w:rPr>
          <w:rFonts w:ascii="Times New Roman" w:hAnsi="Times New Roman" w:cs="Times New Roman"/>
          <w:sz w:val="24"/>
          <w:szCs w:val="24"/>
        </w:rPr>
        <w:t xml:space="preserve"> ont montré un large spectre de toxicité vis-à-vis des trois insectes cibles. </w:t>
      </w:r>
    </w:p>
    <w:p w:rsidR="00D03733" w:rsidRDefault="00D03733" w:rsidP="00B90DF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C75A7">
        <w:rPr>
          <w:rFonts w:ascii="Times New Roman" w:hAnsi="Times New Roman" w:cs="Times New Roman"/>
          <w:sz w:val="24"/>
          <w:szCs w:val="24"/>
        </w:rPr>
        <w:t xml:space="preserve">Le profil protéique des inclusions </w:t>
      </w:r>
      <w:proofErr w:type="spellStart"/>
      <w:r w:rsidRPr="009C75A7">
        <w:rPr>
          <w:rFonts w:ascii="Times New Roman" w:hAnsi="Times New Roman" w:cs="Times New Roman"/>
          <w:sz w:val="24"/>
          <w:szCs w:val="24"/>
        </w:rPr>
        <w:t>parasporales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analysé par SDS-PAGE des trois souches </w:t>
      </w:r>
      <w:proofErr w:type="spellStart"/>
      <w:r>
        <w:rPr>
          <w:rFonts w:ascii="Times New Roman" w:hAnsi="Times New Roman" w:cs="Times New Roman"/>
          <w:sz w:val="24"/>
          <w:szCs w:val="24"/>
        </w:rPr>
        <w:t>Bt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sélectionnées montre un motif de bandes </w:t>
      </w:r>
      <w:r w:rsidRPr="009C75A7">
        <w:rPr>
          <w:rFonts w:ascii="Times New Roman" w:hAnsi="Times New Roman" w:cs="Times New Roman"/>
          <w:sz w:val="24"/>
          <w:szCs w:val="24"/>
        </w:rPr>
        <w:t xml:space="preserve">différent de celui de la souches </w:t>
      </w:r>
      <w:proofErr w:type="spellStart"/>
      <w:r w:rsidRPr="009C75A7">
        <w:rPr>
          <w:rFonts w:ascii="Times New Roman" w:hAnsi="Times New Roman" w:cs="Times New Roman"/>
          <w:i/>
          <w:sz w:val="24"/>
          <w:szCs w:val="24"/>
        </w:rPr>
        <w:t>Btk</w:t>
      </w:r>
      <w:proofErr w:type="spellEnd"/>
      <w:r w:rsidRPr="009C75A7">
        <w:rPr>
          <w:rFonts w:ascii="Times New Roman" w:hAnsi="Times New Roman" w:cs="Times New Roman"/>
          <w:sz w:val="24"/>
          <w:szCs w:val="24"/>
        </w:rPr>
        <w:t xml:space="preserve"> (HD1)</w:t>
      </w:r>
      <w:r>
        <w:rPr>
          <w:rFonts w:ascii="Times New Roman" w:hAnsi="Times New Roman" w:cs="Times New Roman"/>
          <w:sz w:val="24"/>
          <w:szCs w:val="24"/>
        </w:rPr>
        <w:t>. Avec une bande majeure de 130 kDa (deux souches) et de 70 kDa</w:t>
      </w:r>
      <w:r w:rsidR="00FE56BD">
        <w:rPr>
          <w:rFonts w:ascii="Times New Roman" w:hAnsi="Times New Roman" w:cs="Times New Roman"/>
          <w:sz w:val="24"/>
          <w:szCs w:val="24"/>
        </w:rPr>
        <w:t xml:space="preserve"> (une souche). </w:t>
      </w:r>
      <w:r w:rsidR="00FE56BD" w:rsidRPr="009C75A7">
        <w:rPr>
          <w:rFonts w:ascii="Times New Roman" w:hAnsi="Times New Roman" w:cs="Times New Roman"/>
          <w:sz w:val="24"/>
          <w:szCs w:val="24"/>
        </w:rPr>
        <w:t>Ces bandes pourraient correspondre respectivement aux protéines Cry1/Cry9 et Cry2</w:t>
      </w:r>
      <w:r w:rsidR="00B90DF3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Le</w:t>
      </w:r>
      <w:r w:rsidR="00FE56BD">
        <w:rPr>
          <w:rFonts w:ascii="Times New Roman" w:hAnsi="Times New Roman" w:cs="Times New Roman"/>
          <w:sz w:val="24"/>
          <w:szCs w:val="24"/>
        </w:rPr>
        <w:t xml:space="preserve"> test</w:t>
      </w:r>
      <w:r>
        <w:rPr>
          <w:rFonts w:ascii="Times New Roman" w:hAnsi="Times New Roman" w:cs="Times New Roman"/>
          <w:sz w:val="24"/>
          <w:szCs w:val="24"/>
        </w:rPr>
        <w:t xml:space="preserve"> Dot-Blot réalisé </w:t>
      </w:r>
      <w:r w:rsidR="00FE56BD">
        <w:rPr>
          <w:rFonts w:ascii="Times New Roman" w:hAnsi="Times New Roman" w:cs="Times New Roman"/>
          <w:sz w:val="24"/>
          <w:szCs w:val="24"/>
        </w:rPr>
        <w:t>e</w:t>
      </w:r>
      <w:r w:rsidRPr="009C75A7">
        <w:rPr>
          <w:rFonts w:ascii="Times New Roman" w:hAnsi="Times New Roman" w:cs="Times New Roman"/>
          <w:sz w:val="24"/>
          <w:szCs w:val="24"/>
        </w:rPr>
        <w:t>n utilisant un anticorps spécifique anti-Vip3Aa</w:t>
      </w:r>
      <w:r w:rsidR="00FE56BD">
        <w:rPr>
          <w:rFonts w:ascii="Times New Roman" w:hAnsi="Times New Roman" w:cs="Times New Roman"/>
          <w:sz w:val="24"/>
          <w:szCs w:val="24"/>
        </w:rPr>
        <w:t xml:space="preserve"> montre que les trois souches sont productrices de la protéine Vip3, </w:t>
      </w:r>
      <w:r w:rsidR="00B90DF3">
        <w:rPr>
          <w:rFonts w:ascii="Times New Roman" w:hAnsi="Times New Roman" w:cs="Times New Roman"/>
          <w:sz w:val="24"/>
          <w:szCs w:val="24"/>
        </w:rPr>
        <w:t>probablement responsable de</w:t>
      </w:r>
      <w:r w:rsidR="00FE56BD" w:rsidRPr="009C75A7">
        <w:rPr>
          <w:rFonts w:ascii="Times New Roman" w:hAnsi="Times New Roman" w:cs="Times New Roman"/>
          <w:sz w:val="24"/>
          <w:szCs w:val="24"/>
        </w:rPr>
        <w:t xml:space="preserve"> la toxicité élevée du surnagean</w:t>
      </w:r>
      <w:r w:rsidR="00FE56BD">
        <w:rPr>
          <w:rFonts w:ascii="Times New Roman" w:hAnsi="Times New Roman" w:cs="Times New Roman"/>
          <w:sz w:val="24"/>
          <w:szCs w:val="24"/>
        </w:rPr>
        <w:t>t</w:t>
      </w:r>
      <w:r w:rsidR="00B90DF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C75A7" w:rsidRPr="009C75A7" w:rsidRDefault="00FE56BD" w:rsidP="00920D1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 test LC-MS</w:t>
      </w:r>
      <w:r w:rsidRPr="009C75A7">
        <w:rPr>
          <w:rFonts w:ascii="Times New Roman" w:hAnsi="Times New Roman" w:cs="Times New Roman"/>
          <w:sz w:val="24"/>
          <w:szCs w:val="24"/>
        </w:rPr>
        <w:t>/MS</w:t>
      </w:r>
      <w:r>
        <w:rPr>
          <w:rFonts w:ascii="Times New Roman" w:hAnsi="Times New Roman" w:cs="Times New Roman"/>
          <w:sz w:val="24"/>
          <w:szCs w:val="24"/>
        </w:rPr>
        <w:t xml:space="preserve"> du surnageant</w:t>
      </w:r>
      <w:r w:rsidR="007E3387">
        <w:rPr>
          <w:rFonts w:ascii="Times New Roman" w:hAnsi="Times New Roman" w:cs="Times New Roman"/>
          <w:sz w:val="24"/>
          <w:szCs w:val="24"/>
        </w:rPr>
        <w:t xml:space="preserve"> autoclavé</w:t>
      </w:r>
      <w:r>
        <w:rPr>
          <w:rFonts w:ascii="Times New Roman" w:hAnsi="Times New Roman" w:cs="Times New Roman"/>
          <w:sz w:val="24"/>
          <w:szCs w:val="24"/>
        </w:rPr>
        <w:t xml:space="preserve"> a permis de sélectionner deux souches non productrices de </w:t>
      </w:r>
      <w:r w:rsidRPr="009C75A7">
        <w:rPr>
          <w:rFonts w:ascii="Times New Roman" w:hAnsi="Times New Roman" w:cs="Times New Roman"/>
          <w:sz w:val="24"/>
          <w:szCs w:val="24"/>
        </w:rPr>
        <w:t>la β-exotoxine</w:t>
      </w:r>
      <w:r>
        <w:rPr>
          <w:rFonts w:ascii="Times New Roman" w:hAnsi="Times New Roman" w:cs="Times New Roman"/>
          <w:sz w:val="24"/>
          <w:szCs w:val="24"/>
        </w:rPr>
        <w:t>. C</w:t>
      </w:r>
      <w:r w:rsidR="00B90DF3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lles-ci sont retenues comme </w:t>
      </w:r>
      <w:r w:rsidRPr="009C75A7">
        <w:rPr>
          <w:rFonts w:ascii="Times New Roman" w:hAnsi="Times New Roman" w:cs="Times New Roman"/>
          <w:sz w:val="24"/>
          <w:szCs w:val="24"/>
        </w:rPr>
        <w:t xml:space="preserve">souches de </w:t>
      </w:r>
      <w:r w:rsidRPr="009C75A7">
        <w:rPr>
          <w:rFonts w:ascii="Times New Roman" w:hAnsi="Times New Roman" w:cs="Times New Roman"/>
          <w:i/>
          <w:sz w:val="24"/>
          <w:szCs w:val="24"/>
        </w:rPr>
        <w:t xml:space="preserve">B. </w:t>
      </w:r>
      <w:proofErr w:type="spellStart"/>
      <w:r w:rsidRPr="009C75A7">
        <w:rPr>
          <w:rFonts w:ascii="Times New Roman" w:hAnsi="Times New Roman" w:cs="Times New Roman"/>
          <w:i/>
          <w:sz w:val="24"/>
          <w:szCs w:val="24"/>
        </w:rPr>
        <w:t>thuringiensis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C75A7">
        <w:rPr>
          <w:rFonts w:ascii="Times New Roman" w:hAnsi="Times New Roman" w:cs="Times New Roman"/>
          <w:sz w:val="24"/>
          <w:szCs w:val="24"/>
        </w:rPr>
        <w:t>respectueuse à l’environnemen</w:t>
      </w:r>
      <w:r>
        <w:rPr>
          <w:rFonts w:ascii="Times New Roman" w:hAnsi="Times New Roman" w:cs="Times New Roman"/>
          <w:sz w:val="24"/>
          <w:szCs w:val="24"/>
        </w:rPr>
        <w:t>t. E</w:t>
      </w:r>
      <w:r w:rsidRPr="009C75A7">
        <w:rPr>
          <w:rFonts w:ascii="Times New Roman" w:hAnsi="Times New Roman" w:cs="Times New Roman"/>
          <w:sz w:val="24"/>
          <w:szCs w:val="24"/>
        </w:rPr>
        <w:t xml:space="preserve">lles forment de meilleurs candidates pour une éventuelle application dans le contrôle biologique en tant que bio-pesticide à base de </w:t>
      </w:r>
      <w:r w:rsidRPr="009C75A7">
        <w:rPr>
          <w:rFonts w:ascii="Times New Roman" w:hAnsi="Times New Roman" w:cs="Times New Roman"/>
          <w:i/>
          <w:sz w:val="24"/>
          <w:szCs w:val="24"/>
        </w:rPr>
        <w:t xml:space="preserve">B. </w:t>
      </w:r>
      <w:proofErr w:type="spellStart"/>
      <w:r w:rsidRPr="009C75A7">
        <w:rPr>
          <w:rFonts w:ascii="Times New Roman" w:hAnsi="Times New Roman" w:cs="Times New Roman"/>
          <w:i/>
          <w:sz w:val="24"/>
          <w:szCs w:val="24"/>
        </w:rPr>
        <w:t>thuringiensis</w:t>
      </w:r>
      <w:proofErr w:type="spellEnd"/>
      <w:r w:rsidRPr="009C75A7">
        <w:rPr>
          <w:rFonts w:ascii="Times New Roman" w:hAnsi="Times New Roman" w:cs="Times New Roman"/>
          <w:sz w:val="24"/>
          <w:szCs w:val="24"/>
        </w:rPr>
        <w:t>.</w:t>
      </w:r>
      <w:bookmarkStart w:id="0" w:name="_GoBack"/>
      <w:bookmarkEnd w:id="0"/>
    </w:p>
    <w:sectPr w:rsidR="009C75A7" w:rsidRPr="009C75A7" w:rsidSect="0015298B">
      <w:headerReference w:type="default" r:id="rId7"/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F0DD7" w:rsidRDefault="003F0DD7" w:rsidP="00920D18">
      <w:pPr>
        <w:spacing w:after="0" w:line="240" w:lineRule="auto"/>
      </w:pPr>
      <w:r>
        <w:separator/>
      </w:r>
    </w:p>
  </w:endnote>
  <w:endnote w:type="continuationSeparator" w:id="0">
    <w:p w:rsidR="003F0DD7" w:rsidRDefault="003F0DD7" w:rsidP="00920D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F0DD7" w:rsidRDefault="003F0DD7" w:rsidP="00920D18">
      <w:pPr>
        <w:spacing w:after="0" w:line="240" w:lineRule="auto"/>
      </w:pPr>
      <w:r>
        <w:separator/>
      </w:r>
    </w:p>
  </w:footnote>
  <w:footnote w:type="continuationSeparator" w:id="0">
    <w:p w:rsidR="003F0DD7" w:rsidRDefault="003F0DD7" w:rsidP="00920D1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Lucida Calligraphy" w:hAnsi="Lucida Calligraphy" w:cs="Times New Roman"/>
        <w:b/>
        <w:bCs/>
        <w:sz w:val="24"/>
        <w:szCs w:val="24"/>
      </w:rPr>
      <w:alias w:val="Titre"/>
      <w:tag w:val=""/>
      <w:id w:val="1116400235"/>
      <w:placeholder>
        <w:docPart w:val="DE04620D182B43E7A46209D6B08679C2"/>
      </w:placeholder>
      <w:dataBinding w:prefixMappings="xmlns:ns0='http://purl.org/dc/elements/1.1/' xmlns:ns1='http://schemas.openxmlformats.org/package/2006/metadata/core-properties' " w:xpath="/ns1:coreProperties[1]/ns0:title[1]" w:storeItemID="{6C3C8BC8-F283-45AE-878A-BAB7291924A1}"/>
      <w:text/>
    </w:sdtPr>
    <w:sdtEndPr/>
    <w:sdtContent>
      <w:p w:rsidR="00920D18" w:rsidRPr="00920D18" w:rsidRDefault="00920D18" w:rsidP="00920D18">
        <w:pPr>
          <w:pStyle w:val="En-tte"/>
          <w:jc w:val="center"/>
          <w:rPr>
            <w:rFonts w:ascii="Lucida Calligraphy" w:hAnsi="Lucida Calligraphy"/>
            <w:color w:val="7F7F7F" w:themeColor="text1" w:themeTint="80"/>
            <w:sz w:val="24"/>
            <w:szCs w:val="24"/>
          </w:rPr>
        </w:pPr>
        <w:r w:rsidRPr="00920D18">
          <w:rPr>
            <w:rFonts w:ascii="Lucida Calligraphy" w:hAnsi="Lucida Calligraphy" w:cs="Times New Roman"/>
            <w:b/>
            <w:bCs/>
            <w:sz w:val="24"/>
            <w:szCs w:val="24"/>
          </w:rPr>
          <w:t xml:space="preserve">Criblage des gènes des molécules </w:t>
        </w:r>
        <w:proofErr w:type="spellStart"/>
        <w:r w:rsidRPr="00920D18">
          <w:rPr>
            <w:rFonts w:ascii="Lucida Calligraphy" w:hAnsi="Lucida Calligraphy" w:cs="Times New Roman"/>
            <w:b/>
            <w:bCs/>
            <w:sz w:val="24"/>
            <w:szCs w:val="24"/>
          </w:rPr>
          <w:t>entomocides</w:t>
        </w:r>
        <w:proofErr w:type="spellEnd"/>
        <w:r w:rsidRPr="00920D18">
          <w:rPr>
            <w:rFonts w:ascii="Lucida Calligraphy" w:hAnsi="Lucida Calligraphy" w:cs="Times New Roman"/>
            <w:b/>
            <w:bCs/>
            <w:sz w:val="24"/>
            <w:szCs w:val="24"/>
          </w:rPr>
          <w:t xml:space="preserve"> (</w:t>
        </w:r>
        <w:proofErr w:type="spellStart"/>
        <w:r w:rsidRPr="00920D18">
          <w:rPr>
            <w:rFonts w:ascii="Lucida Calligraphy" w:hAnsi="Lucida Calligraphy" w:cs="Times New Roman"/>
            <w:b/>
            <w:bCs/>
            <w:sz w:val="24"/>
            <w:szCs w:val="24"/>
          </w:rPr>
          <w:t>Cry</w:t>
        </w:r>
        <w:proofErr w:type="spellEnd"/>
        <w:r w:rsidRPr="00920D18">
          <w:rPr>
            <w:rFonts w:ascii="Lucida Calligraphy" w:hAnsi="Lucida Calligraphy" w:cs="Times New Roman"/>
            <w:b/>
            <w:bCs/>
            <w:sz w:val="24"/>
            <w:szCs w:val="24"/>
          </w:rPr>
          <w:t xml:space="preserve"> et Vip) et de l’activité antimicrobienne chez des souches de Bacillus </w:t>
        </w:r>
        <w:proofErr w:type="spellStart"/>
        <w:r w:rsidRPr="00920D18">
          <w:rPr>
            <w:rFonts w:ascii="Lucida Calligraphy" w:hAnsi="Lucida Calligraphy" w:cs="Times New Roman"/>
            <w:b/>
            <w:bCs/>
            <w:sz w:val="24"/>
            <w:szCs w:val="24"/>
          </w:rPr>
          <w:t>thuringiensis</w:t>
        </w:r>
        <w:proofErr w:type="spellEnd"/>
        <w:r w:rsidRPr="00920D18">
          <w:rPr>
            <w:rFonts w:ascii="Lucida Calligraphy" w:hAnsi="Lucida Calligraphy" w:cs="Times New Roman"/>
            <w:b/>
            <w:bCs/>
            <w:sz w:val="24"/>
            <w:szCs w:val="24"/>
          </w:rPr>
          <w:t xml:space="preserve"> isolées en Algérie</w:t>
        </w:r>
      </w:p>
    </w:sdtContent>
  </w:sdt>
  <w:p w:rsidR="00920D18" w:rsidRPr="00920D18" w:rsidRDefault="00920D18" w:rsidP="00920D18">
    <w:pPr>
      <w:pStyle w:val="En-tte"/>
      <w:jc w:val="center"/>
      <w:rPr>
        <w:rFonts w:ascii="Lucida Calligraphy" w:hAnsi="Lucida Calligraphy"/>
        <w:sz w:val="24"/>
        <w:szCs w:val="24"/>
      </w:rPr>
    </w:pPr>
    <w:r>
      <w:rPr>
        <w:rFonts w:ascii="Lucida Calligraphy" w:hAnsi="Lucida Calligraphy"/>
        <w:noProof/>
        <w:sz w:val="24"/>
        <w:szCs w:val="24"/>
        <w:lang w:eastAsia="fr-FR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-22225</wp:posOffset>
              </wp:positionH>
              <wp:positionV relativeFrom="paragraph">
                <wp:posOffset>65735</wp:posOffset>
              </wp:positionV>
              <wp:extent cx="5991149" cy="0"/>
              <wp:effectExtent l="0" t="0" r="29210" b="19050"/>
              <wp:wrapNone/>
              <wp:docPr id="1" name="Connecteur droit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991149" cy="0"/>
                      </a:xfrm>
                      <a:prstGeom prst="line">
                        <a:avLst/>
                      </a:prstGeom>
                    </wps:spPr>
                    <wps:style>
                      <a:lnRef idx="2">
                        <a:schemeClr val="accent1"/>
                      </a:lnRef>
                      <a:fillRef idx="0">
                        <a:schemeClr val="accent1"/>
                      </a:fillRef>
                      <a:effectRef idx="1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 xmlns:w16se="http://schemas.microsoft.com/office/word/2015/wordml/symex" xmlns:cx="http://schemas.microsoft.com/office/drawing/2014/chartex">
          <w:pict>
            <v:line w14:anchorId="2F7F4145" id="Connecteur droit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75pt,5.2pt" to="470pt,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" strokecolor="#5b9bd5 [3204]" strokeweight="1pt">
              <v:stroke joinstyle="miter"/>
            </v:lin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6EE0"/>
    <w:rsid w:val="0015298B"/>
    <w:rsid w:val="00160619"/>
    <w:rsid w:val="00292132"/>
    <w:rsid w:val="002A585B"/>
    <w:rsid w:val="002E5700"/>
    <w:rsid w:val="00396EE0"/>
    <w:rsid w:val="003F0DD7"/>
    <w:rsid w:val="00400F78"/>
    <w:rsid w:val="004E35DE"/>
    <w:rsid w:val="00506784"/>
    <w:rsid w:val="005F54C3"/>
    <w:rsid w:val="006A7720"/>
    <w:rsid w:val="007C4299"/>
    <w:rsid w:val="007E3387"/>
    <w:rsid w:val="00914E1B"/>
    <w:rsid w:val="00920D18"/>
    <w:rsid w:val="00937A8B"/>
    <w:rsid w:val="009C75A7"/>
    <w:rsid w:val="00AD3F59"/>
    <w:rsid w:val="00B90DF3"/>
    <w:rsid w:val="00D03733"/>
    <w:rsid w:val="00E434BF"/>
    <w:rsid w:val="00E97A32"/>
    <w:rsid w:val="00EE388B"/>
    <w:rsid w:val="00F33030"/>
    <w:rsid w:val="00FC4DC6"/>
    <w:rsid w:val="00FE56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7E6E8D6-018A-46C8-BE57-FE9320EFEA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96EE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920D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920D18"/>
  </w:style>
  <w:style w:type="paragraph" w:styleId="Pieddepage">
    <w:name w:val="footer"/>
    <w:basedOn w:val="Normal"/>
    <w:link w:val="PieddepageCar"/>
    <w:uiPriority w:val="99"/>
    <w:unhideWhenUsed/>
    <w:rsid w:val="00920D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920D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E04620D182B43E7A46209D6B08679C2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22FF5788-3F0A-4C05-9407-9426F35AF48C}"/>
      </w:docPartPr>
      <w:docPartBody>
        <w:p w:rsidR="00AE3587" w:rsidRDefault="008B0761" w:rsidP="008B0761">
          <w:pPr>
            <w:pStyle w:val="DE04620D182B43E7A46209D6B08679C2"/>
          </w:pPr>
          <w:r>
            <w:rPr>
              <w:color w:val="7F7F7F" w:themeColor="text1" w:themeTint="80"/>
            </w:rPr>
            <w:t>[Titre du document]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0761"/>
    <w:rsid w:val="00397100"/>
    <w:rsid w:val="00647334"/>
    <w:rsid w:val="006A42F5"/>
    <w:rsid w:val="006E1EFF"/>
    <w:rsid w:val="007570F0"/>
    <w:rsid w:val="00854CBF"/>
    <w:rsid w:val="008B0761"/>
    <w:rsid w:val="009B555E"/>
    <w:rsid w:val="00AE35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04620D182B43E7A46209D6B08679C2">
    <w:name w:val="DE04620D182B43E7A46209D6B08679C2"/>
    <w:rsid w:val="008B07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EEE748-CAE1-4623-BE50-F4417F8A33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361</Words>
  <Characters>1989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Criblage des gènes des molécules entomocides (Cry et Vip) et de l’activité antimicrobienne chez des souches de Bacillus thuringiensis isolées en Algérie</vt:lpstr>
    </vt:vector>
  </TitlesOfParts>
  <Company/>
  <LinksUpToDate>false</LinksUpToDate>
  <CharactersWithSpaces>2346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Criblage des gènes des molécules entomocides (Cry et Vip) et de l’activité antimicrobienne chez des souches de Bacillus thuringiensis isolées en Algérie</dc:title>
  <dc:subject/>
  <dc:creator>Utilisateur Windows</dc:creator>
  <cp:keywords/>
  <dc:description/>
  <cp:lastModifiedBy>naima</cp:lastModifiedBy>
  <cp:revision>12</cp:revision>
  <dcterms:created xsi:type="dcterms:W3CDTF">2017-06-12T10:16:00Z</dcterms:created>
  <dcterms:modified xsi:type="dcterms:W3CDTF">2018-05-09T10:21:00Z</dcterms:modified>
</cp:coreProperties>
</file>