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B90" w:rsidRDefault="00916B90" w:rsidP="00A324D7">
      <w:pPr>
        <w:spacing w:line="240" w:lineRule="auto"/>
        <w:jc w:val="both"/>
        <w:rPr>
          <w:rFonts w:ascii="Times New Roman" w:hAnsi="Times New Roman"/>
          <w:b/>
          <w:sz w:val="20"/>
          <w:szCs w:val="20"/>
        </w:rPr>
      </w:pPr>
    </w:p>
    <w:p w:rsidR="0091587B" w:rsidRDefault="0091587B" w:rsidP="00A324D7">
      <w:pPr>
        <w:spacing w:line="240" w:lineRule="auto"/>
        <w:jc w:val="both"/>
        <w:rPr>
          <w:rFonts w:ascii="Times New Roman" w:hAnsi="Times New Roman" w:cs="Times New Roman"/>
          <w:b/>
          <w:sz w:val="20"/>
          <w:szCs w:val="20"/>
        </w:rPr>
      </w:pPr>
      <w:r>
        <w:rPr>
          <w:rFonts w:ascii="Times New Roman" w:hAnsi="Times New Roman"/>
          <w:b/>
          <w:sz w:val="20"/>
          <w:szCs w:val="20"/>
        </w:rPr>
        <w:t>Résumé</w:t>
      </w:r>
    </w:p>
    <w:p w:rsidR="0091587B" w:rsidRDefault="000D1B9A" w:rsidP="0091587B">
      <w:pPr>
        <w:rPr>
          <w:rFonts w:ascii="Times New Roman" w:hAnsi="Times New Roman" w:cs="Times New Roman"/>
          <w:sz w:val="20"/>
          <w:szCs w:val="20"/>
        </w:rPr>
      </w:pPr>
      <w:r w:rsidRPr="000D1B9A">
        <w:rPr>
          <w:noProof/>
        </w:rPr>
        <w:pict>
          <v:shapetype id="_x0000_t202" coordsize="21600,21600" o:spt="202" path="m,l,21600r21600,l21600,xe">
            <v:stroke joinstyle="miter"/>
            <v:path gradientshapeok="t" o:connecttype="rect"/>
          </v:shapetype>
          <v:shape id="Text Box 2" o:spid="_x0000_s1026" type="#_x0000_t202" style="position:absolute;margin-left:-32.3pt;margin-top:7.7pt;width:514.3pt;height:520.3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">
            <v:textbox>
              <w:txbxContent>
                <w:p w:rsidR="0091587B" w:rsidRPr="00A324D7" w:rsidRDefault="0091587B" w:rsidP="0091587B">
                  <w:pPr>
                    <w:autoSpaceDE w:val="0"/>
                    <w:autoSpaceDN w:val="0"/>
                    <w:adjustRightInd w:val="0"/>
                    <w:spacing w:line="240" w:lineRule="auto"/>
                    <w:ind w:firstLine="284"/>
                    <w:jc w:val="both"/>
                    <w:rPr>
                      <w:rFonts w:ascii="Times New Roman" w:hAnsi="Times New Roman" w:cs="Times New Roman"/>
                      <w:color w:val="000000"/>
                      <w:sz w:val="20"/>
                      <w:szCs w:val="20"/>
                    </w:rPr>
                  </w:pPr>
                  <w:r w:rsidRPr="00A324D7">
                    <w:rPr>
                      <w:rFonts w:ascii="Times New Roman" w:hAnsi="Times New Roman" w:cs="Times New Roman"/>
                      <w:color w:val="000000"/>
                      <w:sz w:val="20"/>
                      <w:szCs w:val="20"/>
                    </w:rPr>
                    <w:t>Face à la tendance globale d’accroissement de la population mondiale associée à l’intensification de l’urbanisation, de l’industrialisation et de l’agriculture, les besoins en eau à l’échelle mondiale se font de plus en plus pressants. Or les rejets ménagers, industriels (métaux, colorants, produits chimiques) et agricoles induisent des taux de pollution de l’air et des milieux aquatiques accrus ainsi que l’émergence de nouvelles pollutions, comme la pollution radioactive, qui présentent une toxicité pour l’homme et les écosystèmes. Les systèmes d’assainissement et de purification efficaces peinent en effet à proposer des solutions de traitement efficaces et économiques répondant aux exigences de développement durable. Ces systèmes se fondent, par exemple pour la purification de l’eau, sur des méthodes physiques (filtration, adsorption sur charbon actif), chimique (chloration) ou bien microbiologique (utilisation de bactéries) qu’il faut parfois combiner pour atteindre un degré de purification acceptable. Cela nécessite du temps et plusieurs étapes de traitement ce qui implique également des coûts supplémentaires.</w:t>
                  </w:r>
                </w:p>
                <w:p w:rsidR="0091587B" w:rsidRPr="00A324D7" w:rsidRDefault="0091587B" w:rsidP="0091587B">
                  <w:pPr>
                    <w:spacing w:line="240" w:lineRule="auto"/>
                    <w:ind w:firstLine="284"/>
                    <w:jc w:val="both"/>
                    <w:rPr>
                      <w:rFonts w:ascii="Times New Roman" w:hAnsi="Times New Roman" w:cs="Times New Roman"/>
                      <w:sz w:val="20"/>
                      <w:szCs w:val="20"/>
                    </w:rPr>
                  </w:pPr>
                  <w:r w:rsidRPr="00A324D7">
                    <w:rPr>
                      <w:rFonts w:ascii="Times New Roman" w:hAnsi="Times New Roman" w:cs="Times New Roman"/>
                      <w:sz w:val="20"/>
                      <w:szCs w:val="20"/>
                    </w:rPr>
                    <w:t>Au cours de ces dernières années, les technologies d’oxydation avancées se sont montrées efficaces pour la destruction de polluants tant gazeux qu’aqueux. Ces techniques sont basées sur la génération de radicaux très réactifs vis-à-vis de la dégradation d’une large gamme de polluants. La photocatalyse hétérogène en particulier, qui permet de dégrader des polluants par irradiation d’un semi-conducteur, apparaît comme une technique prometteuse, d’autant plus intéressante que la plupart des pays souffrant de problèmes d’approvisionnement en eau sont les pays les plus ensoleillés du monde.</w:t>
                  </w:r>
                </w:p>
                <w:p w:rsidR="0091587B" w:rsidRPr="00A324D7" w:rsidRDefault="0091587B" w:rsidP="0091587B">
                  <w:pPr>
                    <w:spacing w:line="240" w:lineRule="auto"/>
                    <w:ind w:firstLine="284"/>
                    <w:jc w:val="both"/>
                    <w:rPr>
                      <w:rFonts w:ascii="Times New Roman" w:hAnsi="Times New Roman" w:cs="Times New Roman"/>
                      <w:sz w:val="20"/>
                      <w:szCs w:val="20"/>
                    </w:rPr>
                  </w:pPr>
                  <w:r w:rsidRPr="00A324D7">
                    <w:rPr>
                      <w:rFonts w:ascii="Times New Roman" w:hAnsi="Times New Roman" w:cs="Times New Roman"/>
                      <w:sz w:val="20"/>
                      <w:szCs w:val="20"/>
                    </w:rPr>
                    <w:t xml:space="preserve">Ce mémoire de thèse est dédié à: </w:t>
                  </w:r>
                </w:p>
                <w:p w:rsidR="0091587B" w:rsidRPr="00A324D7" w:rsidRDefault="0091587B" w:rsidP="0091587B">
                  <w:pPr>
                    <w:pStyle w:val="Paragraphedeliste"/>
                    <w:numPr>
                      <w:ilvl w:val="0"/>
                      <w:numId w:val="1"/>
                    </w:numPr>
                    <w:spacing w:line="240" w:lineRule="auto"/>
                    <w:jc w:val="both"/>
                    <w:rPr>
                      <w:rStyle w:val="hps"/>
                      <w:sz w:val="20"/>
                      <w:szCs w:val="20"/>
                    </w:rPr>
                  </w:pPr>
                  <w:r w:rsidRPr="00A324D7">
                    <w:rPr>
                      <w:rFonts w:ascii="Times New Roman" w:hAnsi="Times New Roman"/>
                      <w:sz w:val="20"/>
                      <w:szCs w:val="20"/>
                    </w:rPr>
                    <w:t>L'élaboration des oxydes CuMO</w:t>
                  </w:r>
                  <w:r w:rsidRPr="00A324D7">
                    <w:rPr>
                      <w:rFonts w:ascii="Times New Roman" w:hAnsi="Times New Roman"/>
                      <w:sz w:val="20"/>
                      <w:szCs w:val="20"/>
                      <w:vertAlign w:val="subscript"/>
                    </w:rPr>
                    <w:t>2</w:t>
                  </w:r>
                  <w:r w:rsidRPr="00A324D7">
                    <w:rPr>
                      <w:rFonts w:ascii="Times New Roman" w:hAnsi="Times New Roman"/>
                      <w:sz w:val="20"/>
                      <w:szCs w:val="20"/>
                    </w:rPr>
                    <w:t xml:space="preserve"> (M = Al; Cr; Fe; Mn) par synthèse sol-gel, leurs caractérisations structurales, physiques;</w:t>
                  </w:r>
                  <w:r w:rsidRPr="00A324D7">
                    <w:rPr>
                      <w:rFonts w:ascii="Times New Roman" w:hAnsi="Times New Roman"/>
                      <w:color w:val="FF0000"/>
                      <w:sz w:val="20"/>
                      <w:szCs w:val="20"/>
                    </w:rPr>
                    <w:t xml:space="preserve"> </w:t>
                  </w:r>
                  <w:r w:rsidRPr="00A324D7">
                    <w:rPr>
                      <w:rFonts w:ascii="Times New Roman" w:hAnsi="Times New Roman"/>
                      <w:sz w:val="20"/>
                      <w:szCs w:val="20"/>
                    </w:rPr>
                    <w:t>électrochimiques</w:t>
                  </w:r>
                  <w:r w:rsidRPr="00A324D7">
                    <w:rPr>
                      <w:rFonts w:ascii="Times New Roman" w:hAnsi="Times New Roman"/>
                      <w:color w:val="FF0000"/>
                      <w:sz w:val="20"/>
                      <w:szCs w:val="20"/>
                    </w:rPr>
                    <w:t xml:space="preserve"> </w:t>
                  </w:r>
                  <w:r w:rsidRPr="00A324D7">
                    <w:rPr>
                      <w:rFonts w:ascii="Times New Roman" w:hAnsi="Times New Roman"/>
                      <w:sz w:val="20"/>
                      <w:szCs w:val="20"/>
                    </w:rPr>
                    <w:t>et leurs applications en photocatalyse. Les matériaux CuMO</w:t>
                  </w:r>
                  <w:r w:rsidRPr="00A324D7">
                    <w:rPr>
                      <w:rFonts w:ascii="Times New Roman" w:hAnsi="Times New Roman"/>
                      <w:sz w:val="20"/>
                      <w:szCs w:val="20"/>
                      <w:vertAlign w:val="subscript"/>
                    </w:rPr>
                    <w:t>2</w:t>
                  </w:r>
                  <w:r w:rsidRPr="00A324D7">
                    <w:rPr>
                      <w:rFonts w:ascii="Times New Roman" w:hAnsi="Times New Roman"/>
                      <w:sz w:val="20"/>
                      <w:szCs w:val="20"/>
                    </w:rPr>
                    <w:t xml:space="preserve">  ont été identifiés par diffraction des rayons X, par spectroscopie infrarouge et Raman, </w:t>
                  </w:r>
                  <w:proofErr w:type="spellStart"/>
                  <w:r w:rsidRPr="00A324D7">
                    <w:rPr>
                      <w:rFonts w:ascii="Times New Roman" w:hAnsi="Times New Roman"/>
                      <w:sz w:val="20"/>
                      <w:szCs w:val="20"/>
                    </w:rPr>
                    <w:t>reflectance</w:t>
                  </w:r>
                  <w:proofErr w:type="spellEnd"/>
                  <w:r w:rsidRPr="00A324D7">
                    <w:rPr>
                      <w:rFonts w:ascii="Times New Roman" w:hAnsi="Times New Roman"/>
                      <w:sz w:val="20"/>
                      <w:szCs w:val="20"/>
                    </w:rPr>
                    <w:t xml:space="preserve"> diffuse. Les oxydes delafossites CuFeO</w:t>
                  </w:r>
                  <w:r w:rsidRPr="00A324D7">
                    <w:rPr>
                      <w:rFonts w:ascii="Times New Roman" w:hAnsi="Times New Roman"/>
                      <w:sz w:val="20"/>
                      <w:szCs w:val="20"/>
                      <w:vertAlign w:val="subscript"/>
                    </w:rPr>
                    <w:t>2</w:t>
                  </w:r>
                  <w:r w:rsidRPr="00A324D7">
                    <w:rPr>
                      <w:rFonts w:ascii="Times New Roman" w:hAnsi="Times New Roman"/>
                      <w:sz w:val="20"/>
                      <w:szCs w:val="20"/>
                    </w:rPr>
                    <w:t>, CuAlO</w:t>
                  </w:r>
                  <w:r w:rsidRPr="00A324D7">
                    <w:rPr>
                      <w:rFonts w:ascii="Times New Roman" w:hAnsi="Times New Roman"/>
                      <w:sz w:val="20"/>
                      <w:szCs w:val="20"/>
                      <w:vertAlign w:val="subscript"/>
                    </w:rPr>
                    <w:t>2</w:t>
                  </w:r>
                  <w:r w:rsidRPr="00A324D7">
                    <w:rPr>
                      <w:rFonts w:ascii="Times New Roman" w:hAnsi="Times New Roman"/>
                      <w:sz w:val="20"/>
                      <w:szCs w:val="20"/>
                    </w:rPr>
                    <w:t>, CuCrO</w:t>
                  </w:r>
                  <w:r w:rsidRPr="00A324D7">
                    <w:rPr>
                      <w:rFonts w:ascii="Times New Roman" w:hAnsi="Times New Roman"/>
                      <w:sz w:val="20"/>
                      <w:szCs w:val="20"/>
                      <w:vertAlign w:val="subscript"/>
                    </w:rPr>
                    <w:t>2</w:t>
                  </w:r>
                  <w:r w:rsidRPr="00A324D7">
                    <w:rPr>
                      <w:rFonts w:ascii="Times New Roman" w:hAnsi="Times New Roman"/>
                      <w:sz w:val="20"/>
                      <w:szCs w:val="20"/>
                    </w:rPr>
                    <w:t xml:space="preserve"> cristallisent dans le système </w:t>
                  </w:r>
                  <w:r w:rsidRPr="00A324D7">
                    <w:rPr>
                      <w:rFonts w:ascii="Times New Roman" w:hAnsi="Times New Roman"/>
                      <w:color w:val="222222"/>
                      <w:sz w:val="20"/>
                      <w:szCs w:val="20"/>
                    </w:rPr>
                    <w:t>hexagonal (</w:t>
                  </w:r>
                  <w:proofErr w:type="gramStart"/>
                  <w:r w:rsidRPr="00A324D7">
                    <w:rPr>
                      <w:rFonts w:ascii="Times New Roman" w:hAnsi="Times New Roman"/>
                      <w:color w:val="222222"/>
                      <w:sz w:val="20"/>
                      <w:szCs w:val="20"/>
                    </w:rPr>
                    <w:t>SG:</w:t>
                  </w:r>
                  <w:proofErr w:type="gramEnd"/>
                  <w:r w:rsidRPr="00A324D7">
                    <w:rPr>
                      <w:rFonts w:ascii="Times New Roman" w:hAnsi="Times New Roman"/>
                      <w:color w:val="222222"/>
                      <w:sz w:val="20"/>
                      <w:szCs w:val="20"/>
                    </w:rPr>
                    <w:t xml:space="preserve"> </w:t>
                  </w:r>
                  <w:r w:rsidRPr="00A324D7">
                    <w:rPr>
                      <w:rFonts w:ascii="Times New Roman" w:hAnsi="Times New Roman"/>
                      <w:sz w:val="20"/>
                      <w:szCs w:val="20"/>
                    </w:rPr>
                    <w:t>R</w:t>
                  </w:r>
                  <w:r w:rsidRPr="00A324D7">
                    <w:rPr>
                      <w:position w:val="-6"/>
                      <w:sz w:val="20"/>
                      <w:szCs w:val="20"/>
                      <w:lang w:val="en-US"/>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pt;height:17.25pt" o:ole="">
                        <v:imagedata r:id="rId7" o:title=""/>
                      </v:shape>
                      <o:OLEObject Type="Embed" ProgID="Equation.3" ShapeID="_x0000_i1025" DrawAspect="Content" ObjectID="_1556876710" r:id="rId8"/>
                    </w:object>
                  </w:r>
                  <w:r w:rsidRPr="00A324D7">
                    <w:rPr>
                      <w:position w:val="-6"/>
                      <w:sz w:val="20"/>
                      <w:szCs w:val="20"/>
                    </w:rPr>
                    <w:t xml:space="preserve"> </w:t>
                  </w:r>
                  <w:r w:rsidRPr="00A324D7">
                    <w:rPr>
                      <w:rFonts w:ascii="Times New Roman" w:hAnsi="Times New Roman"/>
                      <w:sz w:val="20"/>
                      <w:szCs w:val="20"/>
                    </w:rPr>
                    <w:t>m</w:t>
                  </w:r>
                  <w:r w:rsidRPr="00A324D7">
                    <w:rPr>
                      <w:rFonts w:ascii="Times New Roman" w:hAnsi="Times New Roman"/>
                      <w:color w:val="222222"/>
                      <w:sz w:val="20"/>
                      <w:szCs w:val="20"/>
                    </w:rPr>
                    <w:t xml:space="preserve">) et la </w:t>
                  </w:r>
                  <w:proofErr w:type="spellStart"/>
                  <w:r w:rsidRPr="00A324D7">
                    <w:rPr>
                      <w:rFonts w:ascii="Times New Roman" w:hAnsi="Times New Roman"/>
                      <w:color w:val="222222"/>
                      <w:sz w:val="20"/>
                      <w:szCs w:val="20"/>
                    </w:rPr>
                    <w:t>crednerite</w:t>
                  </w:r>
                  <w:proofErr w:type="spellEnd"/>
                  <w:r w:rsidRPr="00A324D7">
                    <w:rPr>
                      <w:rFonts w:ascii="Times New Roman" w:hAnsi="Times New Roman"/>
                      <w:color w:val="222222"/>
                      <w:sz w:val="20"/>
                      <w:szCs w:val="20"/>
                    </w:rPr>
                    <w:t xml:space="preserve"> </w:t>
                  </w:r>
                  <w:r w:rsidRPr="00A324D7">
                    <w:rPr>
                      <w:rFonts w:ascii="Times New Roman" w:hAnsi="Times New Roman"/>
                      <w:sz w:val="20"/>
                      <w:szCs w:val="20"/>
                    </w:rPr>
                    <w:t>CuMnO</w:t>
                  </w:r>
                  <w:r w:rsidRPr="00A324D7">
                    <w:rPr>
                      <w:rFonts w:ascii="Times New Roman" w:hAnsi="Times New Roman"/>
                      <w:sz w:val="20"/>
                      <w:szCs w:val="20"/>
                      <w:vertAlign w:val="subscript"/>
                    </w:rPr>
                    <w:t>2</w:t>
                  </w:r>
                  <w:r w:rsidRPr="00A324D7">
                    <w:rPr>
                      <w:rFonts w:ascii="Times New Roman" w:hAnsi="Times New Roman"/>
                      <w:sz w:val="20"/>
                      <w:szCs w:val="20"/>
                    </w:rPr>
                    <w:t xml:space="preserve"> dans le système monoclinique (C</w:t>
                  </w:r>
                  <m:oMath>
                    <m:f>
                      <m:fPr>
                        <m:ctrlPr>
                          <w:rPr>
                            <w:rFonts w:ascii="Cambria Math" w:hAnsi="Cambria Math"/>
                            <w:i/>
                            <w:sz w:val="20"/>
                            <w:szCs w:val="20"/>
                          </w:rPr>
                        </m:ctrlPr>
                      </m:fPr>
                      <m:num>
                        <m:r>
                          <w:rPr>
                            <w:rFonts w:ascii="Cambria Math" w:hAnsi="Cambria Math"/>
                            <w:sz w:val="20"/>
                            <w:szCs w:val="20"/>
                          </w:rPr>
                          <m:t>2</m:t>
                        </m:r>
                      </m:num>
                      <m:den>
                        <m:r>
                          <w:rPr>
                            <w:rFonts w:ascii="Cambria Math" w:hAnsi="Cambria Math"/>
                            <w:sz w:val="20"/>
                            <w:szCs w:val="20"/>
                          </w:rPr>
                          <m:t>m</m:t>
                        </m:r>
                      </m:den>
                    </m:f>
                  </m:oMath>
                  <w:r w:rsidRPr="00A324D7">
                    <w:rPr>
                      <w:rFonts w:ascii="Times New Roman" w:eastAsiaTheme="minorEastAsia" w:hAnsi="Times New Roman"/>
                      <w:sz w:val="20"/>
                      <w:szCs w:val="20"/>
                    </w:rPr>
                    <w:t>) à cause de l’effet Jahn-Teller Mn</w:t>
                  </w:r>
                  <w:r w:rsidRPr="00A324D7">
                    <w:rPr>
                      <w:rFonts w:ascii="Times New Roman" w:eastAsiaTheme="minorEastAsia" w:hAnsi="Times New Roman"/>
                      <w:sz w:val="20"/>
                      <w:szCs w:val="20"/>
                      <w:vertAlign w:val="superscript"/>
                    </w:rPr>
                    <w:t>3+</w:t>
                  </w:r>
                  <w:r w:rsidRPr="00A324D7">
                    <w:rPr>
                      <w:rFonts w:ascii="Times New Roman" w:eastAsiaTheme="minorEastAsia" w:hAnsi="Times New Roman"/>
                      <w:sz w:val="20"/>
                      <w:szCs w:val="20"/>
                    </w:rPr>
                    <w:t xml:space="preserve"> (</w:t>
                  </w:r>
                  <w:r w:rsidRPr="00A324D7">
                    <w:rPr>
                      <w:rFonts w:ascii="Times New Roman" w:eastAsiaTheme="minorEastAsia" w:hAnsi="Times New Roman"/>
                      <w:i/>
                      <w:sz w:val="20"/>
                      <w:szCs w:val="20"/>
                    </w:rPr>
                    <w:t>3d</w:t>
                  </w:r>
                  <w:r w:rsidRPr="00A324D7">
                    <w:rPr>
                      <w:rFonts w:ascii="Times New Roman" w:eastAsiaTheme="minorEastAsia" w:hAnsi="Times New Roman"/>
                      <w:i/>
                      <w:sz w:val="20"/>
                      <w:szCs w:val="20"/>
                      <w:vertAlign w:val="superscript"/>
                    </w:rPr>
                    <w:t>4</w:t>
                  </w:r>
                  <w:r w:rsidRPr="00A324D7">
                    <w:rPr>
                      <w:rFonts w:ascii="Times New Roman" w:eastAsiaTheme="minorEastAsia" w:hAnsi="Times New Roman"/>
                      <w:sz w:val="20"/>
                      <w:szCs w:val="20"/>
                    </w:rPr>
                    <w:t>).</w:t>
                  </w:r>
                  <w:r w:rsidRPr="00A324D7">
                    <w:rPr>
                      <w:rFonts w:ascii="Times New Roman" w:eastAsiaTheme="minorEastAsia" w:hAnsi="Times New Roman"/>
                      <w:color w:val="FF0000"/>
                      <w:sz w:val="20"/>
                      <w:szCs w:val="20"/>
                    </w:rPr>
                    <w:t xml:space="preserve"> </w:t>
                  </w:r>
                  <w:r w:rsidRPr="00A324D7">
                    <w:rPr>
                      <w:rFonts w:ascii="Times New Roman" w:eastAsiaTheme="minorEastAsia" w:hAnsi="Times New Roman"/>
                      <w:sz w:val="20"/>
                      <w:szCs w:val="20"/>
                    </w:rPr>
                    <w:t xml:space="preserve">La </w:t>
                  </w:r>
                  <w:r w:rsidRPr="00A324D7">
                    <w:rPr>
                      <w:rFonts w:ascii="Times New Roman" w:hAnsi="Times New Roman"/>
                      <w:sz w:val="20"/>
                      <w:szCs w:val="20"/>
                    </w:rPr>
                    <w:t>spectroscopie Raman a mi</w:t>
                  </w:r>
                  <w:r w:rsidRPr="00A324D7">
                    <w:rPr>
                      <w:rFonts w:ascii="Times New Roman" w:hAnsi="Times New Roman"/>
                      <w:sz w:val="20"/>
                      <w:szCs w:val="20"/>
                      <w:u w:val="single"/>
                    </w:rPr>
                    <w:t>s</w:t>
                  </w:r>
                  <w:r w:rsidRPr="00A324D7">
                    <w:rPr>
                      <w:rFonts w:ascii="Times New Roman" w:hAnsi="Times New Roman"/>
                      <w:sz w:val="20"/>
                      <w:szCs w:val="20"/>
                    </w:rPr>
                    <w:t xml:space="preserve"> en évidence des bandes de vibrations  aux alentours  de 207, 450 et 700 cm</w:t>
                  </w:r>
                  <w:r w:rsidRPr="00A324D7">
                    <w:rPr>
                      <w:rFonts w:ascii="Times New Roman" w:hAnsi="Times New Roman"/>
                      <w:sz w:val="20"/>
                      <w:szCs w:val="20"/>
                      <w:vertAlign w:val="superscript"/>
                    </w:rPr>
                    <w:t>-1</w:t>
                  </w:r>
                  <w:r w:rsidRPr="00A324D7">
                    <w:rPr>
                      <w:rFonts w:ascii="Times New Roman" w:hAnsi="Times New Roman"/>
                      <w:sz w:val="20"/>
                      <w:szCs w:val="20"/>
                    </w:rPr>
                    <w:t xml:space="preserve"> attribuées aux modes </w:t>
                  </w:r>
                  <w:proofErr w:type="spellStart"/>
                  <w:r w:rsidRPr="00A324D7">
                    <w:rPr>
                      <w:rFonts w:ascii="Times New Roman" w:hAnsi="Times New Roman"/>
                      <w:sz w:val="20"/>
                      <w:szCs w:val="20"/>
                    </w:rPr>
                    <w:t>E</w:t>
                  </w:r>
                  <w:r w:rsidRPr="00A324D7">
                    <w:rPr>
                      <w:rFonts w:ascii="Times New Roman" w:hAnsi="Times New Roman"/>
                      <w:sz w:val="20"/>
                      <w:szCs w:val="20"/>
                      <w:vertAlign w:val="subscript"/>
                    </w:rPr>
                    <w:t>g</w:t>
                  </w:r>
                  <w:proofErr w:type="spellEnd"/>
                  <w:r w:rsidRPr="00A324D7">
                    <w:rPr>
                      <w:rFonts w:ascii="Times New Roman" w:hAnsi="Times New Roman"/>
                      <w:sz w:val="20"/>
                      <w:szCs w:val="20"/>
                    </w:rPr>
                    <w:t>, A</w:t>
                  </w:r>
                  <w:r w:rsidRPr="00A324D7">
                    <w:rPr>
                      <w:rFonts w:ascii="Times New Roman" w:hAnsi="Times New Roman"/>
                      <w:sz w:val="20"/>
                      <w:szCs w:val="20"/>
                      <w:vertAlign w:val="subscript"/>
                    </w:rPr>
                    <w:t>g</w:t>
                  </w:r>
                  <w:r w:rsidRPr="00A324D7">
                    <w:rPr>
                      <w:rFonts w:ascii="Times New Roman" w:hAnsi="Times New Roman"/>
                      <w:sz w:val="20"/>
                      <w:szCs w:val="20"/>
                    </w:rPr>
                    <w:t>, A</w:t>
                  </w:r>
                  <w:r w:rsidRPr="00A324D7">
                    <w:rPr>
                      <w:rFonts w:ascii="Times New Roman" w:hAnsi="Times New Roman"/>
                      <w:sz w:val="20"/>
                      <w:szCs w:val="20"/>
                      <w:vertAlign w:val="subscript"/>
                    </w:rPr>
                    <w:t>1g</w:t>
                  </w:r>
                  <w:r w:rsidRPr="00A324D7">
                    <w:rPr>
                      <w:color w:val="222222"/>
                      <w:sz w:val="20"/>
                      <w:szCs w:val="20"/>
                    </w:rPr>
                    <w:t xml:space="preserve"> </w:t>
                  </w:r>
                  <w:r w:rsidRPr="00A324D7">
                    <w:rPr>
                      <w:rFonts w:ascii="Times New Roman" w:hAnsi="Times New Roman"/>
                      <w:color w:val="222222"/>
                      <w:sz w:val="20"/>
                      <w:szCs w:val="20"/>
                    </w:rPr>
                    <w:t>correspondant à</w:t>
                  </w:r>
                  <w:r w:rsidRPr="00A324D7">
                    <w:rPr>
                      <w:color w:val="222222"/>
                      <w:sz w:val="20"/>
                      <w:szCs w:val="20"/>
                    </w:rPr>
                    <w:t xml:space="preserve"> </w:t>
                  </w:r>
                  <w:r w:rsidRPr="00A324D7">
                    <w:rPr>
                      <w:rStyle w:val="hps"/>
                      <w:rFonts w:ascii="Times New Roman" w:hAnsi="Times New Roman"/>
                      <w:color w:val="222222"/>
                      <w:sz w:val="20"/>
                      <w:szCs w:val="20"/>
                    </w:rPr>
                    <w:t>la liaison linéaire</w:t>
                  </w:r>
                  <w:r w:rsidRPr="00A324D7">
                    <w:rPr>
                      <w:rFonts w:ascii="Times New Roman" w:hAnsi="Times New Roman"/>
                      <w:color w:val="222222"/>
                      <w:sz w:val="20"/>
                      <w:szCs w:val="20"/>
                    </w:rPr>
                    <w:t xml:space="preserve"> </w:t>
                  </w:r>
                  <w:r w:rsidRPr="00A324D7">
                    <w:rPr>
                      <w:rStyle w:val="hps"/>
                      <w:rFonts w:ascii="Times New Roman" w:hAnsi="Times New Roman"/>
                      <w:color w:val="222222"/>
                      <w:sz w:val="20"/>
                      <w:szCs w:val="20"/>
                    </w:rPr>
                    <w:t>O-</w:t>
                  </w:r>
                  <w:r w:rsidRPr="00A324D7">
                    <w:rPr>
                      <w:rFonts w:ascii="Times New Roman" w:hAnsi="Times New Roman"/>
                      <w:color w:val="222222"/>
                      <w:sz w:val="20"/>
                      <w:szCs w:val="20"/>
                    </w:rPr>
                    <w:t>Cu</w:t>
                  </w:r>
                  <w:r w:rsidRPr="00A324D7">
                    <w:rPr>
                      <w:rFonts w:ascii="Times New Roman" w:hAnsi="Times New Roman"/>
                      <w:color w:val="222222"/>
                      <w:sz w:val="20"/>
                      <w:szCs w:val="20"/>
                      <w:vertAlign w:val="superscript"/>
                    </w:rPr>
                    <w:t>I</w:t>
                  </w:r>
                  <w:r w:rsidRPr="00A324D7">
                    <w:rPr>
                      <w:rFonts w:ascii="Times New Roman" w:hAnsi="Times New Roman"/>
                      <w:color w:val="222222"/>
                      <w:sz w:val="20"/>
                      <w:szCs w:val="20"/>
                    </w:rPr>
                    <w:t>-O</w:t>
                  </w:r>
                  <w:r w:rsidRPr="00A324D7">
                    <w:rPr>
                      <w:rStyle w:val="hps"/>
                      <w:rFonts w:ascii="Times New Roman" w:hAnsi="Times New Roman"/>
                      <w:color w:val="222222"/>
                      <w:sz w:val="20"/>
                      <w:szCs w:val="20"/>
                    </w:rPr>
                    <w:t xml:space="preserve"> et aux octaèdres</w:t>
                  </w:r>
                  <w:r w:rsidRPr="00A324D7">
                    <w:rPr>
                      <w:rFonts w:ascii="Times New Roman" w:hAnsi="Times New Roman"/>
                      <w:color w:val="222222"/>
                      <w:sz w:val="20"/>
                      <w:szCs w:val="20"/>
                    </w:rPr>
                    <w:t xml:space="preserve"> </w:t>
                  </w:r>
                  <w:r w:rsidRPr="00A324D7">
                    <w:rPr>
                      <w:rStyle w:val="hps"/>
                      <w:rFonts w:ascii="Times New Roman" w:hAnsi="Times New Roman"/>
                      <w:color w:val="222222"/>
                      <w:sz w:val="20"/>
                      <w:szCs w:val="20"/>
                    </w:rPr>
                    <w:t>M</w:t>
                  </w:r>
                  <w:r w:rsidRPr="00A324D7">
                    <w:rPr>
                      <w:rStyle w:val="hps"/>
                      <w:rFonts w:ascii="Times New Roman" w:hAnsi="Times New Roman"/>
                      <w:color w:val="222222"/>
                      <w:sz w:val="20"/>
                      <w:szCs w:val="20"/>
                      <w:vertAlign w:val="superscript"/>
                    </w:rPr>
                    <w:t>III</w:t>
                  </w:r>
                  <w:r w:rsidRPr="00A324D7">
                    <w:rPr>
                      <w:rStyle w:val="hps"/>
                      <w:rFonts w:ascii="Times New Roman" w:hAnsi="Times New Roman"/>
                      <w:color w:val="222222"/>
                      <w:sz w:val="20"/>
                      <w:szCs w:val="20"/>
                    </w:rPr>
                    <w:t>O</w:t>
                  </w:r>
                  <w:r w:rsidRPr="00A324D7">
                    <w:rPr>
                      <w:rStyle w:val="hps"/>
                      <w:rFonts w:ascii="Times New Roman" w:hAnsi="Times New Roman"/>
                      <w:color w:val="222222"/>
                      <w:sz w:val="20"/>
                      <w:szCs w:val="20"/>
                      <w:vertAlign w:val="subscript"/>
                    </w:rPr>
                    <w:t>6</w:t>
                  </w:r>
                  <w:r w:rsidRPr="00A324D7">
                    <w:rPr>
                      <w:rFonts w:ascii="Times New Roman" w:hAnsi="Times New Roman"/>
                      <w:color w:val="222222"/>
                      <w:sz w:val="20"/>
                      <w:szCs w:val="20"/>
                    </w:rPr>
                    <w:t xml:space="preserve"> </w:t>
                  </w:r>
                  <w:r w:rsidRPr="00A324D7">
                    <w:rPr>
                      <w:rFonts w:ascii="Times New Roman" w:hAnsi="Times New Roman"/>
                      <w:sz w:val="20"/>
                      <w:szCs w:val="20"/>
                    </w:rPr>
                    <w:t>à arêtes communes</w:t>
                  </w:r>
                  <w:r w:rsidRPr="00A324D7">
                    <w:rPr>
                      <w:rStyle w:val="hps"/>
                      <w:rFonts w:ascii="Times New Roman" w:hAnsi="Times New Roman"/>
                      <w:color w:val="222222"/>
                      <w:sz w:val="20"/>
                      <w:szCs w:val="20"/>
                    </w:rPr>
                    <w:t xml:space="preserve">. Par contre, pour </w:t>
                  </w:r>
                  <w:r w:rsidRPr="00A324D7">
                    <w:rPr>
                      <w:rFonts w:ascii="Times New Roman" w:hAnsi="Times New Roman"/>
                      <w:sz w:val="20"/>
                      <w:szCs w:val="20"/>
                    </w:rPr>
                    <w:t>CuMnO</w:t>
                  </w:r>
                  <w:r w:rsidRPr="00A324D7">
                    <w:rPr>
                      <w:rFonts w:ascii="Times New Roman" w:hAnsi="Times New Roman"/>
                      <w:sz w:val="20"/>
                      <w:szCs w:val="20"/>
                      <w:vertAlign w:val="subscript"/>
                    </w:rPr>
                    <w:t>2</w:t>
                  </w:r>
                  <w:r w:rsidRPr="00A324D7">
                    <w:rPr>
                      <w:rFonts w:ascii="Times New Roman" w:hAnsi="Times New Roman"/>
                      <w:sz w:val="20"/>
                      <w:szCs w:val="20"/>
                    </w:rPr>
                    <w:t xml:space="preserve"> un pic univoque situé à 679 cm</w:t>
                  </w:r>
                  <w:r w:rsidRPr="00A324D7">
                    <w:rPr>
                      <w:rFonts w:ascii="Times New Roman" w:hAnsi="Times New Roman"/>
                      <w:sz w:val="20"/>
                      <w:szCs w:val="20"/>
                      <w:vertAlign w:val="superscript"/>
                    </w:rPr>
                    <w:t>-1</w:t>
                  </w:r>
                  <w:r w:rsidRPr="00A324D7">
                    <w:rPr>
                      <w:rFonts w:ascii="Times New Roman" w:hAnsi="Times New Roman"/>
                      <w:sz w:val="20"/>
                      <w:szCs w:val="20"/>
                    </w:rPr>
                    <w:t xml:space="preserve"> (mode A</w:t>
                  </w:r>
                  <w:r w:rsidRPr="00A324D7">
                    <w:rPr>
                      <w:rFonts w:ascii="Times New Roman" w:hAnsi="Times New Roman"/>
                      <w:sz w:val="20"/>
                      <w:szCs w:val="20"/>
                      <w:vertAlign w:val="subscript"/>
                    </w:rPr>
                    <w:t>1g</w:t>
                  </w:r>
                  <w:r w:rsidRPr="00A324D7">
                    <w:rPr>
                      <w:rFonts w:ascii="Times New Roman" w:hAnsi="Times New Roman"/>
                      <w:sz w:val="20"/>
                      <w:szCs w:val="20"/>
                    </w:rPr>
                    <w:t xml:space="preserve">) est observé. Les spectres de </w:t>
                  </w:r>
                  <w:proofErr w:type="spellStart"/>
                  <w:r w:rsidRPr="00A324D7">
                    <w:rPr>
                      <w:rFonts w:ascii="Times New Roman" w:hAnsi="Times New Roman"/>
                      <w:sz w:val="20"/>
                      <w:szCs w:val="20"/>
                    </w:rPr>
                    <w:t>reflectance</w:t>
                  </w:r>
                  <w:proofErr w:type="spellEnd"/>
                  <w:r w:rsidRPr="00A324D7">
                    <w:rPr>
                      <w:rFonts w:ascii="Times New Roman" w:hAnsi="Times New Roman"/>
                      <w:sz w:val="20"/>
                      <w:szCs w:val="20"/>
                    </w:rPr>
                    <w:t xml:space="preserve"> diffuse nous ont conduits à la détermination </w:t>
                  </w:r>
                  <w:proofErr w:type="gramStart"/>
                  <w:r w:rsidRPr="00A324D7">
                    <w:rPr>
                      <w:rFonts w:ascii="Times New Roman" w:hAnsi="Times New Roman"/>
                      <w:sz w:val="20"/>
                      <w:szCs w:val="20"/>
                    </w:rPr>
                    <w:t>de la</w:t>
                  </w:r>
                  <w:proofErr w:type="gramEnd"/>
                  <w:r w:rsidRPr="00A324D7">
                    <w:rPr>
                      <w:rFonts w:ascii="Times New Roman" w:hAnsi="Times New Roman"/>
                      <w:sz w:val="20"/>
                      <w:szCs w:val="20"/>
                    </w:rPr>
                    <w:t xml:space="preserve"> largueur de la bande interdite (</w:t>
                  </w:r>
                  <w:proofErr w:type="spellStart"/>
                  <w:r w:rsidRPr="00A324D7">
                    <w:rPr>
                      <w:rFonts w:ascii="Times New Roman" w:hAnsi="Times New Roman"/>
                      <w:sz w:val="20"/>
                      <w:szCs w:val="20"/>
                    </w:rPr>
                    <w:t>E</w:t>
                  </w:r>
                  <w:r w:rsidRPr="00A324D7">
                    <w:rPr>
                      <w:rFonts w:ascii="Times New Roman" w:hAnsi="Times New Roman"/>
                      <w:sz w:val="20"/>
                      <w:szCs w:val="20"/>
                      <w:vertAlign w:val="subscript"/>
                    </w:rPr>
                    <w:t>g</w:t>
                  </w:r>
                  <w:proofErr w:type="spellEnd"/>
                  <w:r w:rsidRPr="00A324D7">
                    <w:rPr>
                      <w:rFonts w:ascii="Times New Roman" w:hAnsi="Times New Roman"/>
                      <w:sz w:val="20"/>
                      <w:szCs w:val="20"/>
                    </w:rPr>
                    <w:t xml:space="preserve">) et le type de transition. La variation thermique de la conductivité électrique indique un comportement semi-conducteur et un mécanisme de conduction par saut de petits </w:t>
                  </w:r>
                  <w:proofErr w:type="spellStart"/>
                  <w:r w:rsidRPr="00A324D7">
                    <w:rPr>
                      <w:rFonts w:ascii="Times New Roman" w:hAnsi="Times New Roman"/>
                      <w:sz w:val="20"/>
                      <w:szCs w:val="20"/>
                    </w:rPr>
                    <w:t>polarons</w:t>
                  </w:r>
                  <w:proofErr w:type="spellEnd"/>
                  <w:r w:rsidRPr="00A324D7">
                    <w:rPr>
                      <w:rFonts w:ascii="Times New Roman" w:hAnsi="Times New Roman"/>
                      <w:sz w:val="20"/>
                      <w:szCs w:val="20"/>
                    </w:rPr>
                    <w:t xml:space="preserve"> et la valeur de l'énergie d'activation (</w:t>
                  </w:r>
                  <w:proofErr w:type="spellStart"/>
                  <w:r w:rsidRPr="00A324D7">
                    <w:rPr>
                      <w:rFonts w:ascii="Times New Roman" w:hAnsi="Times New Roman"/>
                      <w:sz w:val="20"/>
                      <w:szCs w:val="20"/>
                    </w:rPr>
                    <w:t>E</w:t>
                  </w:r>
                  <w:r w:rsidRPr="00A324D7">
                    <w:rPr>
                      <w:rFonts w:ascii="Times New Roman" w:hAnsi="Times New Roman"/>
                      <w:sz w:val="20"/>
                      <w:szCs w:val="20"/>
                      <w:vertAlign w:val="subscript"/>
                    </w:rPr>
                    <w:t>a</w:t>
                  </w:r>
                  <w:proofErr w:type="spellEnd"/>
                  <w:r w:rsidRPr="00A324D7">
                    <w:rPr>
                      <w:rFonts w:ascii="Times New Roman" w:hAnsi="Times New Roman"/>
                      <w:sz w:val="20"/>
                      <w:szCs w:val="20"/>
                    </w:rPr>
                    <w:t>) est évaluée à partir de la pente de la courbe Log (</w:t>
                  </w:r>
                  <m:oMath>
                    <m:r>
                      <w:rPr>
                        <w:rFonts w:ascii="Cambria Math" w:hAnsi="Cambria Math"/>
                        <w:i/>
                        <w:sz w:val="20"/>
                        <w:szCs w:val="20"/>
                      </w:rPr>
                      <w:sym w:font="Symbol" w:char="0073"/>
                    </m:r>
                  </m:oMath>
                  <w:r w:rsidRPr="00A324D7">
                    <w:rPr>
                      <w:rFonts w:ascii="Times New Roman" w:hAnsi="Times New Roman"/>
                      <w:sz w:val="20"/>
                      <w:szCs w:val="20"/>
                    </w:rPr>
                    <w:t>) en fonction de (1000/T). Le signe positive du pouvoir thermoélectrique est due à un excès d'oxygène qui génèrent des trous,</w:t>
                  </w:r>
                  <w:r w:rsidRPr="00A324D7">
                    <w:rPr>
                      <w:rFonts w:ascii="Times New Roman" w:hAnsi="Times New Roman"/>
                      <w:color w:val="FF0000"/>
                      <w:sz w:val="20"/>
                      <w:szCs w:val="20"/>
                    </w:rPr>
                    <w:t xml:space="preserve"> </w:t>
                  </w:r>
                  <w:r w:rsidRPr="00A324D7">
                    <w:rPr>
                      <w:rFonts w:ascii="Times New Roman" w:hAnsi="Times New Roman"/>
                      <w:sz w:val="20"/>
                      <w:szCs w:val="20"/>
                    </w:rPr>
                    <w:t xml:space="preserve">indiquant une conduction de type </w:t>
                  </w:r>
                  <w:r w:rsidRPr="00A324D7">
                    <w:rPr>
                      <w:rFonts w:ascii="Times New Roman" w:hAnsi="Times New Roman"/>
                      <w:i/>
                      <w:sz w:val="20"/>
                      <w:szCs w:val="20"/>
                    </w:rPr>
                    <w:t>p</w:t>
                  </w:r>
                  <w:r w:rsidRPr="00A324D7">
                    <w:rPr>
                      <w:rFonts w:ascii="Times New Roman" w:hAnsi="Times New Roman"/>
                      <w:sz w:val="20"/>
                      <w:szCs w:val="20"/>
                    </w:rPr>
                    <w:t xml:space="preserve">, un comportement confirmé par les mesures des capacitances. Les courbes de </w:t>
                  </w:r>
                  <w:proofErr w:type="spellStart"/>
                  <w:r w:rsidRPr="00A324D7">
                    <w:rPr>
                      <w:rFonts w:ascii="Times New Roman" w:hAnsi="Times New Roman"/>
                      <w:sz w:val="20"/>
                      <w:szCs w:val="20"/>
                    </w:rPr>
                    <w:t>Mott</w:t>
                  </w:r>
                  <w:proofErr w:type="spellEnd"/>
                  <w:r w:rsidRPr="00A324D7">
                    <w:rPr>
                      <w:rFonts w:ascii="Times New Roman" w:hAnsi="Times New Roman"/>
                      <w:sz w:val="20"/>
                      <w:szCs w:val="20"/>
                    </w:rPr>
                    <w:t>-Schottky, nous ont permis de calculer la densité des trous (N</w:t>
                  </w:r>
                  <w:r w:rsidRPr="00A324D7">
                    <w:rPr>
                      <w:rFonts w:ascii="Times New Roman" w:hAnsi="Times New Roman"/>
                      <w:sz w:val="20"/>
                      <w:szCs w:val="20"/>
                      <w:vertAlign w:val="subscript"/>
                    </w:rPr>
                    <w:t>A</w:t>
                  </w:r>
                  <w:r w:rsidRPr="00A324D7">
                    <w:rPr>
                      <w:rFonts w:ascii="Times New Roman" w:hAnsi="Times New Roman"/>
                      <w:sz w:val="20"/>
                      <w:szCs w:val="20"/>
                    </w:rPr>
                    <w:t>) et d'estimer le potentiel de la bande plate V</w:t>
                  </w:r>
                  <w:r w:rsidRPr="00A324D7">
                    <w:rPr>
                      <w:rFonts w:ascii="Times New Roman" w:hAnsi="Times New Roman"/>
                      <w:sz w:val="20"/>
                      <w:szCs w:val="20"/>
                      <w:vertAlign w:val="subscript"/>
                    </w:rPr>
                    <w:t>bp</w:t>
                  </w:r>
                  <w:r w:rsidRPr="00A324D7">
                    <w:rPr>
                      <w:rFonts w:ascii="Times New Roman" w:hAnsi="Times New Roman"/>
                      <w:sz w:val="20"/>
                      <w:szCs w:val="20"/>
                    </w:rPr>
                    <w:t xml:space="preserve">. Ce dernier permet de positionner énergétiquement les bandes de valence et de conduction. </w:t>
                  </w:r>
                  <w:r w:rsidRPr="00A324D7">
                    <w:rPr>
                      <w:rStyle w:val="hps"/>
                      <w:rFonts w:ascii="Times New Roman" w:hAnsi="Times New Roman"/>
                      <w:sz w:val="20"/>
                      <w:szCs w:val="20"/>
                    </w:rPr>
                    <w:t xml:space="preserve"> </w:t>
                  </w:r>
                </w:p>
                <w:p w:rsidR="0091587B" w:rsidRPr="00A324D7" w:rsidRDefault="0091587B" w:rsidP="0091587B">
                  <w:pPr>
                    <w:spacing w:line="240" w:lineRule="auto"/>
                    <w:ind w:firstLine="284"/>
                    <w:jc w:val="both"/>
                    <w:rPr>
                      <w:rStyle w:val="hps"/>
                      <w:rFonts w:ascii="Times New Roman" w:hAnsi="Times New Roman" w:cs="Times New Roman"/>
                      <w:sz w:val="20"/>
                      <w:szCs w:val="20"/>
                    </w:rPr>
                  </w:pPr>
                  <w:r w:rsidRPr="00A324D7">
                    <w:rPr>
                      <w:rStyle w:val="hps"/>
                      <w:rFonts w:ascii="Times New Roman" w:hAnsi="Times New Roman" w:cs="Times New Roman"/>
                      <w:sz w:val="20"/>
                      <w:szCs w:val="20"/>
                    </w:rPr>
                    <w:t>La connaissance de tous les paramètres physiques (</w:t>
                  </w:r>
                  <w:proofErr w:type="spellStart"/>
                  <w:r w:rsidRPr="00A324D7">
                    <w:rPr>
                      <w:rStyle w:val="hps"/>
                      <w:rFonts w:ascii="Times New Roman" w:hAnsi="Times New Roman" w:cs="Times New Roman"/>
                      <w:sz w:val="20"/>
                      <w:szCs w:val="20"/>
                    </w:rPr>
                    <w:t>E</w:t>
                  </w:r>
                  <w:r w:rsidRPr="00A324D7">
                    <w:rPr>
                      <w:rStyle w:val="hps"/>
                      <w:rFonts w:ascii="Times New Roman" w:hAnsi="Times New Roman" w:cs="Times New Roman"/>
                      <w:sz w:val="20"/>
                      <w:szCs w:val="20"/>
                      <w:vertAlign w:val="subscript"/>
                    </w:rPr>
                    <w:t>a</w:t>
                  </w:r>
                  <w:proofErr w:type="spellEnd"/>
                  <w:r w:rsidRPr="00A324D7">
                    <w:rPr>
                      <w:rStyle w:val="hps"/>
                      <w:rFonts w:ascii="Times New Roman" w:hAnsi="Times New Roman" w:cs="Times New Roman"/>
                      <w:sz w:val="20"/>
                      <w:szCs w:val="20"/>
                    </w:rPr>
                    <w:t xml:space="preserve">; </w:t>
                  </w:r>
                  <w:proofErr w:type="spellStart"/>
                  <w:r w:rsidRPr="00A324D7">
                    <w:rPr>
                      <w:rStyle w:val="hps"/>
                      <w:rFonts w:ascii="Times New Roman" w:hAnsi="Times New Roman" w:cs="Times New Roman"/>
                      <w:sz w:val="20"/>
                      <w:szCs w:val="20"/>
                    </w:rPr>
                    <w:t>E</w:t>
                  </w:r>
                  <w:r w:rsidRPr="00A324D7">
                    <w:rPr>
                      <w:rStyle w:val="hps"/>
                      <w:rFonts w:ascii="Times New Roman" w:hAnsi="Times New Roman" w:cs="Times New Roman"/>
                      <w:sz w:val="20"/>
                      <w:szCs w:val="20"/>
                      <w:vertAlign w:val="subscript"/>
                    </w:rPr>
                    <w:t>g</w:t>
                  </w:r>
                  <w:proofErr w:type="spellEnd"/>
                  <w:r w:rsidRPr="00A324D7">
                    <w:rPr>
                      <w:rStyle w:val="hps"/>
                      <w:rFonts w:ascii="Times New Roman" w:hAnsi="Times New Roman" w:cs="Times New Roman"/>
                      <w:sz w:val="20"/>
                      <w:szCs w:val="20"/>
                    </w:rPr>
                    <w:t xml:space="preserve"> et </w:t>
                  </w:r>
                  <w:proofErr w:type="spellStart"/>
                  <w:r w:rsidRPr="00A324D7">
                    <w:rPr>
                      <w:rFonts w:ascii="Times New Roman" w:hAnsi="Times New Roman"/>
                      <w:sz w:val="20"/>
                      <w:szCs w:val="20"/>
                    </w:rPr>
                    <w:t>V</w:t>
                  </w:r>
                  <w:r w:rsidRPr="00A324D7">
                    <w:rPr>
                      <w:rFonts w:ascii="Times New Roman" w:hAnsi="Times New Roman"/>
                      <w:sz w:val="20"/>
                      <w:szCs w:val="20"/>
                      <w:vertAlign w:val="subscript"/>
                    </w:rPr>
                    <w:t>bp</w:t>
                  </w:r>
                  <w:proofErr w:type="spellEnd"/>
                  <w:r w:rsidRPr="00A324D7">
                    <w:rPr>
                      <w:rFonts w:ascii="Times New Roman" w:hAnsi="Times New Roman"/>
                      <w:sz w:val="20"/>
                      <w:szCs w:val="20"/>
                    </w:rPr>
                    <w:t>)</w:t>
                  </w:r>
                  <w:r w:rsidRPr="00A324D7">
                    <w:rPr>
                      <w:rStyle w:val="hps"/>
                      <w:rFonts w:ascii="Times New Roman" w:hAnsi="Times New Roman" w:cs="Times New Roman"/>
                      <w:sz w:val="20"/>
                      <w:szCs w:val="20"/>
                    </w:rPr>
                    <w:t xml:space="preserve"> de nos matériaux ci-dessus ont permis de tracer le diagramme énergétique avec différentes électrolytes. Ces diagrammes permettent de prédire les réactions susceptibles de se produire à la jonction semi</w:t>
                  </w:r>
                  <w:r w:rsidR="00A324D7" w:rsidRPr="00A324D7">
                    <w:rPr>
                      <w:rStyle w:val="hps"/>
                      <w:rFonts w:ascii="Times New Roman" w:hAnsi="Times New Roman" w:cs="Times New Roman"/>
                      <w:sz w:val="20"/>
                      <w:szCs w:val="20"/>
                    </w:rPr>
                    <w:t>-</w:t>
                  </w:r>
                  <w:r w:rsidRPr="00A324D7">
                    <w:rPr>
                      <w:rStyle w:val="hps"/>
                      <w:rFonts w:ascii="Times New Roman" w:hAnsi="Times New Roman" w:cs="Times New Roman"/>
                      <w:sz w:val="20"/>
                      <w:szCs w:val="20"/>
                    </w:rPr>
                    <w:t>conducteur/électrolyte.</w:t>
                  </w:r>
                </w:p>
                <w:p w:rsidR="0091587B" w:rsidRPr="00A324D7" w:rsidRDefault="0091587B" w:rsidP="0091587B">
                  <w:pPr>
                    <w:pStyle w:val="Paragraphedeliste"/>
                    <w:numPr>
                      <w:ilvl w:val="0"/>
                      <w:numId w:val="2"/>
                    </w:numPr>
                    <w:autoSpaceDE w:val="0"/>
                    <w:autoSpaceDN w:val="0"/>
                    <w:adjustRightInd w:val="0"/>
                    <w:spacing w:line="240" w:lineRule="auto"/>
                    <w:jc w:val="both"/>
                    <w:rPr>
                      <w:sz w:val="20"/>
                      <w:szCs w:val="20"/>
                    </w:rPr>
                  </w:pPr>
                  <w:r w:rsidRPr="00A324D7">
                    <w:rPr>
                      <w:rFonts w:ascii="Times New Roman" w:hAnsi="Times New Roman"/>
                      <w:sz w:val="20"/>
                      <w:szCs w:val="20"/>
                    </w:rPr>
                    <w:t>La dépollution de l'eau par les métaux lourds X</w:t>
                  </w:r>
                  <w:r w:rsidRPr="00A324D7">
                    <w:rPr>
                      <w:rFonts w:ascii="Times New Roman" w:hAnsi="Times New Roman"/>
                      <w:sz w:val="20"/>
                      <w:szCs w:val="20"/>
                      <w:vertAlign w:val="superscript"/>
                    </w:rPr>
                    <w:t>2+</w:t>
                  </w:r>
                  <w:r w:rsidRPr="00A324D7">
                    <w:rPr>
                      <w:rFonts w:ascii="Times New Roman" w:hAnsi="Times New Roman"/>
                      <w:sz w:val="20"/>
                      <w:szCs w:val="20"/>
                    </w:rPr>
                    <w:t xml:space="preserve"> (X = Ag, Cd, Ni, Pb et Zn) en solution aqueuse, par photocatalyse hétérogène en présence de CuMnO</w:t>
                  </w:r>
                  <w:r w:rsidRPr="00A324D7">
                    <w:rPr>
                      <w:rFonts w:ascii="Times New Roman" w:hAnsi="Times New Roman"/>
                      <w:sz w:val="20"/>
                      <w:szCs w:val="20"/>
                      <w:vertAlign w:val="subscript"/>
                    </w:rPr>
                    <w:t>2</w:t>
                  </w:r>
                  <w:r w:rsidRPr="00A324D7">
                    <w:rPr>
                      <w:rFonts w:ascii="Times New Roman" w:hAnsi="Times New Roman"/>
                      <w:sz w:val="20"/>
                      <w:szCs w:val="20"/>
                    </w:rPr>
                    <w:t xml:space="preserve"> en suspension et illuminé par une irradiation lumineuse visible. </w:t>
                  </w:r>
                </w:p>
                <w:p w:rsidR="0091587B" w:rsidRPr="00A324D7" w:rsidRDefault="0091587B" w:rsidP="0091587B">
                  <w:pPr>
                    <w:autoSpaceDE w:val="0"/>
                    <w:autoSpaceDN w:val="0"/>
                    <w:adjustRightInd w:val="0"/>
                    <w:spacing w:line="360" w:lineRule="auto"/>
                    <w:ind w:firstLine="567"/>
                    <w:jc w:val="both"/>
                    <w:rPr>
                      <w:rFonts w:cs="Times New Roman"/>
                      <w:sz w:val="20"/>
                      <w:szCs w:val="20"/>
                    </w:rPr>
                  </w:pPr>
                </w:p>
                <w:p w:rsidR="0091587B" w:rsidRDefault="0091587B" w:rsidP="0091587B">
                  <w:pPr>
                    <w:autoSpaceDE w:val="0"/>
                    <w:autoSpaceDN w:val="0"/>
                    <w:adjustRightInd w:val="0"/>
                    <w:spacing w:line="360" w:lineRule="auto"/>
                    <w:ind w:firstLine="567"/>
                    <w:jc w:val="both"/>
                    <w:rPr>
                      <w:rFonts w:cs="Times New Roman"/>
                    </w:rPr>
                  </w:pPr>
                  <w:proofErr w:type="gramStart"/>
                  <w:r>
                    <w:rPr>
                      <w:rFonts w:cs="Times New Roman"/>
                    </w:rPr>
                    <w:t>par</w:t>
                  </w:r>
                  <w:proofErr w:type="gramEnd"/>
                  <w:r>
                    <w:rPr>
                      <w:rFonts w:cs="Times New Roman"/>
                    </w:rPr>
                    <w:t xml:space="preserve"> photocatalyse hétérogène en présence de CuMnO</w:t>
                  </w:r>
                  <w:r>
                    <w:rPr>
                      <w:rFonts w:cs="Times New Roman"/>
                      <w:vertAlign w:val="subscript"/>
                    </w:rPr>
                    <w:t>2</w:t>
                  </w:r>
                  <w:r>
                    <w:rPr>
                      <w:rFonts w:cs="Times New Roman"/>
                    </w:rPr>
                    <w:t xml:space="preserve"> en suspension et illuminé par une irradiation lumineuse visible a été étudié</w:t>
                  </w:r>
                </w:p>
                <w:p w:rsidR="0091587B" w:rsidRDefault="0091587B" w:rsidP="0091587B">
                  <w:pPr>
                    <w:autoSpaceDE w:val="0"/>
                    <w:autoSpaceDN w:val="0"/>
                    <w:adjustRightInd w:val="0"/>
                    <w:spacing w:line="360" w:lineRule="auto"/>
                    <w:ind w:firstLine="567"/>
                    <w:jc w:val="both"/>
                    <w:rPr>
                      <w:rFonts w:cs="Times New Roman"/>
                    </w:rPr>
                  </w:pPr>
                </w:p>
                <w:p w:rsidR="0091587B" w:rsidRDefault="0091587B" w:rsidP="0091587B">
                  <w:pPr>
                    <w:autoSpaceDE w:val="0"/>
                    <w:autoSpaceDN w:val="0"/>
                    <w:adjustRightInd w:val="0"/>
                    <w:spacing w:line="360" w:lineRule="auto"/>
                    <w:ind w:firstLine="567"/>
                    <w:jc w:val="both"/>
                    <w:rPr>
                      <w:rFonts w:cs="Times New Roman"/>
                      <w:sz w:val="28"/>
                      <w:szCs w:val="28"/>
                    </w:rPr>
                  </w:pPr>
                </w:p>
                <w:p w:rsidR="0091587B" w:rsidRDefault="0091587B" w:rsidP="0091587B">
                  <w:pPr>
                    <w:autoSpaceDE w:val="0"/>
                    <w:autoSpaceDN w:val="0"/>
                    <w:adjustRightInd w:val="0"/>
                    <w:spacing w:line="360" w:lineRule="auto"/>
                    <w:jc w:val="both"/>
                    <w:rPr>
                      <w:rFonts w:cs="Times New Roman"/>
                    </w:rPr>
                  </w:pPr>
                  <w:proofErr w:type="gramStart"/>
                  <w:r>
                    <w:rPr>
                      <w:rFonts w:cs="Times New Roman"/>
                    </w:rPr>
                    <w:t>par</w:t>
                  </w:r>
                  <w:proofErr w:type="gramEnd"/>
                  <w:r>
                    <w:rPr>
                      <w:rFonts w:cs="Times New Roman"/>
                    </w:rPr>
                    <w:t xml:space="preserve"> photocatalyse hétérogène en présence de CuMnO</w:t>
                  </w:r>
                  <w:r>
                    <w:rPr>
                      <w:rFonts w:cs="Times New Roman"/>
                      <w:vertAlign w:val="subscript"/>
                    </w:rPr>
                    <w:t>2</w:t>
                  </w:r>
                  <w:r>
                    <w:rPr>
                      <w:rFonts w:cs="Times New Roman"/>
                    </w:rPr>
                    <w:t xml:space="preserve"> en suspension et illuminé par une irradiation lumineuse visible a été étudié. </w:t>
                  </w:r>
                </w:p>
                <w:p w:rsidR="0091587B" w:rsidRDefault="0091587B" w:rsidP="0091587B">
                  <w:pPr>
                    <w:autoSpaceDE w:val="0"/>
                    <w:autoSpaceDN w:val="0"/>
                    <w:adjustRightInd w:val="0"/>
                    <w:jc w:val="both"/>
                    <w:rPr>
                      <w:rFonts w:cs="Times New Roman"/>
                    </w:rPr>
                  </w:pPr>
                </w:p>
                <w:p w:rsidR="0091587B" w:rsidRDefault="0091587B" w:rsidP="0091587B">
                  <w:pPr>
                    <w:spacing w:line="240" w:lineRule="auto"/>
                    <w:ind w:firstLine="284"/>
                    <w:jc w:val="both"/>
                    <w:rPr>
                      <w:rStyle w:val="hps"/>
                      <w:rFonts w:ascii="Times New Roman" w:hAnsi="Times New Roman"/>
                      <w:color w:val="222222"/>
                      <w:sz w:val="20"/>
                      <w:szCs w:val="20"/>
                    </w:rPr>
                  </w:pPr>
                </w:p>
                <w:p w:rsidR="0091587B" w:rsidRDefault="0091587B" w:rsidP="0091587B">
                  <w:pPr>
                    <w:spacing w:line="240" w:lineRule="auto"/>
                    <w:ind w:firstLine="284"/>
                    <w:jc w:val="both"/>
                  </w:pPr>
                  <w:r>
                    <w:rPr>
                      <w:rFonts w:ascii="Times New Roman" w:hAnsi="Times New Roman" w:cs="Times New Roman"/>
                      <w:color w:val="222222"/>
                      <w:sz w:val="20"/>
                      <w:szCs w:val="20"/>
                    </w:rPr>
                    <w:t xml:space="preserve"> </w:t>
                  </w:r>
                </w:p>
              </w:txbxContent>
            </v:textbox>
          </v:shape>
        </w:pict>
      </w: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jc w:val="right"/>
        <w:rPr>
          <w:rFonts w:ascii="Times New Roman" w:hAnsi="Times New Roman" w:cs="Times New Roman"/>
          <w:sz w:val="20"/>
          <w:szCs w:val="20"/>
        </w:rPr>
      </w:pPr>
    </w:p>
    <w:p w:rsidR="0091587B" w:rsidRDefault="0091587B" w:rsidP="0091587B">
      <w:pPr>
        <w:jc w:val="right"/>
        <w:rPr>
          <w:rFonts w:ascii="Times New Roman" w:hAnsi="Times New Roman" w:cs="Times New Roman"/>
          <w:sz w:val="20"/>
          <w:szCs w:val="20"/>
        </w:rPr>
      </w:pPr>
    </w:p>
    <w:p w:rsidR="0091587B" w:rsidRDefault="0091587B" w:rsidP="0091587B">
      <w:pPr>
        <w:jc w:val="right"/>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sz w:val="20"/>
          <w:szCs w:val="20"/>
        </w:rPr>
      </w:pPr>
    </w:p>
    <w:p w:rsidR="0091587B" w:rsidRDefault="0091587B" w:rsidP="0091587B">
      <w:pPr>
        <w:rPr>
          <w:rFonts w:ascii="Times New Roman" w:hAnsi="Times New Roman" w:cs="Times New Roman"/>
          <w:b/>
          <w:sz w:val="20"/>
          <w:szCs w:val="20"/>
        </w:rPr>
      </w:pPr>
    </w:p>
    <w:p w:rsidR="0091587B" w:rsidRDefault="0091587B" w:rsidP="0091587B">
      <w:pPr>
        <w:rPr>
          <w:rFonts w:ascii="Times New Roman" w:hAnsi="Times New Roman" w:cs="Times New Roman"/>
          <w:b/>
          <w:sz w:val="20"/>
          <w:szCs w:val="20"/>
        </w:rPr>
      </w:pPr>
    </w:p>
    <w:p w:rsidR="0091587B" w:rsidRDefault="0091587B" w:rsidP="0091587B">
      <w:pPr>
        <w:rPr>
          <w:rFonts w:ascii="Times New Roman" w:hAnsi="Times New Roman" w:cs="Times New Roman"/>
          <w:b/>
          <w:sz w:val="20"/>
          <w:szCs w:val="20"/>
        </w:rPr>
      </w:pPr>
    </w:p>
    <w:sectPr w:rsidR="0091587B" w:rsidSect="0041004C">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500E" w:rsidRDefault="00DF500E" w:rsidP="002F723A">
      <w:pPr>
        <w:spacing w:after="0" w:line="240" w:lineRule="auto"/>
      </w:pPr>
      <w:r>
        <w:separator/>
      </w:r>
    </w:p>
  </w:endnote>
  <w:endnote w:type="continuationSeparator" w:id="0">
    <w:p w:rsidR="00DF500E" w:rsidRDefault="00DF500E" w:rsidP="002F72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ld">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500E" w:rsidRDefault="00DF500E" w:rsidP="002F723A">
      <w:pPr>
        <w:spacing w:after="0" w:line="240" w:lineRule="auto"/>
      </w:pPr>
      <w:r>
        <w:separator/>
      </w:r>
    </w:p>
  </w:footnote>
  <w:footnote w:type="continuationSeparator" w:id="0">
    <w:p w:rsidR="00DF500E" w:rsidRDefault="00DF500E" w:rsidP="002F723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971B7F"/>
    <w:multiLevelType w:val="hybridMultilevel"/>
    <w:tmpl w:val="1780CFFC"/>
    <w:lvl w:ilvl="0" w:tplc="040C000B">
      <w:start w:val="1"/>
      <w:numFmt w:val="bullet"/>
      <w:lvlText w:val=""/>
      <w:lvlJc w:val="left"/>
      <w:pPr>
        <w:ind w:left="1004"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
    <w:nsid w:val="46600B6C"/>
    <w:multiLevelType w:val="hybridMultilevel"/>
    <w:tmpl w:val="B7A48DD6"/>
    <w:lvl w:ilvl="0" w:tplc="040C000B">
      <w:start w:val="1"/>
      <w:numFmt w:val="bullet"/>
      <w:lvlText w:val=""/>
      <w:lvlJc w:val="left"/>
      <w:pPr>
        <w:ind w:left="1004"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useFELayout/>
  </w:compat>
  <w:rsids>
    <w:rsidRoot w:val="0091587B"/>
    <w:rsid w:val="000D1B9A"/>
    <w:rsid w:val="002F723A"/>
    <w:rsid w:val="0041004C"/>
    <w:rsid w:val="00517629"/>
    <w:rsid w:val="0058181F"/>
    <w:rsid w:val="00652931"/>
    <w:rsid w:val="00687FEC"/>
    <w:rsid w:val="00834B87"/>
    <w:rsid w:val="0091587B"/>
    <w:rsid w:val="00916B90"/>
    <w:rsid w:val="00A324D7"/>
    <w:rsid w:val="00D13469"/>
    <w:rsid w:val="00DF50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1B9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1587B"/>
    <w:pPr>
      <w:ind w:left="720"/>
      <w:contextualSpacing/>
    </w:pPr>
    <w:rPr>
      <w:rFonts w:ascii="Bold" w:eastAsia="Bold" w:hAnsi="Bold" w:cs="Times New Roman"/>
    </w:rPr>
  </w:style>
  <w:style w:type="character" w:customStyle="1" w:styleId="hps">
    <w:name w:val="hps"/>
    <w:basedOn w:val="Policepardfaut"/>
    <w:rsid w:val="0091587B"/>
  </w:style>
  <w:style w:type="paragraph" w:styleId="Textedebulles">
    <w:name w:val="Balloon Text"/>
    <w:basedOn w:val="Normal"/>
    <w:link w:val="TextedebullesCar"/>
    <w:uiPriority w:val="99"/>
    <w:semiHidden/>
    <w:unhideWhenUsed/>
    <w:rsid w:val="009158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1587B"/>
    <w:rPr>
      <w:rFonts w:ascii="Tahoma" w:hAnsi="Tahoma" w:cs="Tahoma"/>
      <w:sz w:val="16"/>
      <w:szCs w:val="16"/>
    </w:rPr>
  </w:style>
  <w:style w:type="paragraph" w:styleId="En-tte">
    <w:name w:val="header"/>
    <w:basedOn w:val="Normal"/>
    <w:link w:val="En-tteCar"/>
    <w:uiPriority w:val="99"/>
    <w:semiHidden/>
    <w:unhideWhenUsed/>
    <w:rsid w:val="002F723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F723A"/>
  </w:style>
  <w:style w:type="paragraph" w:styleId="Pieddepage">
    <w:name w:val="footer"/>
    <w:basedOn w:val="Normal"/>
    <w:link w:val="PieddepageCar"/>
    <w:uiPriority w:val="99"/>
    <w:semiHidden/>
    <w:unhideWhenUsed/>
    <w:rsid w:val="002F723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2F72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1587B"/>
    <w:pPr>
      <w:ind w:left="720"/>
      <w:contextualSpacing/>
    </w:pPr>
    <w:rPr>
      <w:rFonts w:ascii="Bold" w:eastAsia="Bold" w:hAnsi="Bold" w:cs="Times New Roman"/>
    </w:rPr>
  </w:style>
  <w:style w:type="character" w:customStyle="1" w:styleId="hps">
    <w:name w:val="hps"/>
    <w:basedOn w:val="Policepardfaut"/>
    <w:rsid w:val="0091587B"/>
  </w:style>
  <w:style w:type="paragraph" w:styleId="Textedebulles">
    <w:name w:val="Balloon Text"/>
    <w:basedOn w:val="Normal"/>
    <w:link w:val="TextedebullesCar"/>
    <w:uiPriority w:val="99"/>
    <w:semiHidden/>
    <w:unhideWhenUsed/>
    <w:rsid w:val="009158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1587B"/>
    <w:rPr>
      <w:rFonts w:ascii="Tahoma" w:hAnsi="Tahoma" w:cs="Tahoma"/>
      <w:sz w:val="16"/>
      <w:szCs w:val="16"/>
    </w:rPr>
  </w:style>
  <w:style w:type="paragraph" w:styleId="En-tte">
    <w:name w:val="header"/>
    <w:basedOn w:val="Normal"/>
    <w:link w:val="En-tteCar"/>
    <w:uiPriority w:val="99"/>
    <w:semiHidden/>
    <w:unhideWhenUsed/>
    <w:rsid w:val="002F723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F723A"/>
  </w:style>
  <w:style w:type="paragraph" w:styleId="Pieddepage">
    <w:name w:val="footer"/>
    <w:basedOn w:val="Normal"/>
    <w:link w:val="PieddepageCar"/>
    <w:uiPriority w:val="99"/>
    <w:semiHidden/>
    <w:unhideWhenUsed/>
    <w:rsid w:val="002F723A"/>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2F723A"/>
  </w:style>
</w:styles>
</file>

<file path=word/webSettings.xml><?xml version="1.0" encoding="utf-8"?>
<w:webSettings xmlns:r="http://schemas.openxmlformats.org/officeDocument/2006/relationships" xmlns:w="http://schemas.openxmlformats.org/wordprocessingml/2006/main">
  <w:divs>
    <w:div w:id="450364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Words>
  <Characters>28</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traitement</cp:lastModifiedBy>
  <cp:revision>3</cp:revision>
  <dcterms:created xsi:type="dcterms:W3CDTF">2017-02-08T09:22:00Z</dcterms:created>
  <dcterms:modified xsi:type="dcterms:W3CDTF">2017-05-21T10:59:00Z</dcterms:modified>
</cp:coreProperties>
</file>