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69A1" w:rsidRDefault="007E69A1">
      <w:pPr>
        <w:spacing w:after="0" w:line="360" w:lineRule="auto"/>
        <w:jc w:val="both"/>
        <w:rPr>
          <w:rFonts w:ascii="Times New Roman" w:hAnsi="Times New Roman" w:cs="Times New Roman"/>
          <w:b/>
          <w:bCs/>
          <w:sz w:val="28"/>
          <w:szCs w:val="28"/>
        </w:rPr>
      </w:pPr>
    </w:p>
    <w:p w:rsidR="007E69A1" w:rsidRDefault="007E69A1">
      <w:pPr>
        <w:spacing w:after="0" w:line="360" w:lineRule="auto"/>
        <w:jc w:val="both"/>
        <w:rPr>
          <w:rFonts w:ascii="Times New Roman" w:hAnsi="Times New Roman" w:cs="Times New Roman"/>
          <w:b/>
          <w:bCs/>
          <w:sz w:val="28"/>
          <w:szCs w:val="28"/>
        </w:rPr>
      </w:pPr>
    </w:p>
    <w:p w:rsidR="007E69A1" w:rsidRDefault="007E69A1">
      <w:pPr>
        <w:spacing w:after="0" w:line="360" w:lineRule="auto"/>
        <w:jc w:val="both"/>
        <w:rPr>
          <w:rFonts w:ascii="Times New Roman" w:hAnsi="Times New Roman" w:cs="Times New Roman"/>
          <w:b/>
          <w:bCs/>
          <w:sz w:val="28"/>
          <w:szCs w:val="28"/>
        </w:rPr>
      </w:pPr>
    </w:p>
    <w:p w:rsidR="007E69A1" w:rsidRDefault="007E69A1">
      <w:pPr>
        <w:spacing w:after="0" w:line="360" w:lineRule="auto"/>
        <w:jc w:val="both"/>
        <w:rPr>
          <w:rFonts w:ascii="Times New Roman" w:hAnsi="Times New Roman" w:cs="Times New Roman"/>
          <w:b/>
          <w:bCs/>
          <w:sz w:val="28"/>
          <w:szCs w:val="28"/>
        </w:rPr>
      </w:pPr>
    </w:p>
    <w:p w:rsidR="00445AD1" w:rsidRDefault="005D597F">
      <w:pPr>
        <w:spacing w:after="0" w:line="360" w:lineRule="auto"/>
        <w:jc w:val="both"/>
        <w:rPr>
          <w:rFonts w:ascii="Times New Roman" w:hAnsi="Times New Roman" w:cs="Times New Roman"/>
          <w:b/>
          <w:bCs/>
          <w:sz w:val="28"/>
          <w:szCs w:val="28"/>
        </w:rPr>
      </w:pPr>
      <w:bookmarkStart w:id="0" w:name="_GoBack"/>
      <w:bookmarkEnd w:id="0"/>
      <w:r>
        <w:rPr>
          <w:rFonts w:ascii="Times New Roman" w:hAnsi="Times New Roman" w:cs="Times New Roman"/>
          <w:b/>
          <w:bCs/>
          <w:sz w:val="28"/>
          <w:szCs w:val="28"/>
        </w:rPr>
        <w:t xml:space="preserve">Résumé </w:t>
      </w:r>
    </w:p>
    <w:p w:rsidR="00445AD1" w:rsidRDefault="005D597F">
      <w:pPr>
        <w:spacing w:after="0" w:line="360" w:lineRule="auto"/>
        <w:ind w:firstLine="567"/>
        <w:jc w:val="both"/>
      </w:pPr>
      <w:r>
        <w:rPr>
          <w:rFonts w:ascii="Times New Roman" w:hAnsi="Times New Roman" w:cs="Times New Roman"/>
          <w:b/>
          <w:bCs/>
          <w:i/>
          <w:iCs/>
          <w:sz w:val="24"/>
          <w:szCs w:val="24"/>
        </w:rPr>
        <w:t xml:space="preserve">   </w:t>
      </w:r>
      <w:r>
        <w:rPr>
          <w:rFonts w:ascii="Times New Roman" w:hAnsi="Times New Roman" w:cs="Times New Roman"/>
          <w:sz w:val="24"/>
          <w:szCs w:val="24"/>
        </w:rPr>
        <w:t xml:space="preserve">L’infertilité est un problème socioculturel majeur. L’étude des aspects cytomorphologique, endocrinien </w:t>
      </w:r>
      <w:bookmarkStart w:id="1" w:name="OLE_LINK1"/>
      <w:bookmarkStart w:id="2" w:name="OLE_LINK2"/>
      <w:bookmarkStart w:id="3" w:name="OLE_LINK3"/>
      <w:r>
        <w:rPr>
          <w:rFonts w:ascii="Times New Roman" w:hAnsi="Times New Roman" w:cs="Times New Roman"/>
          <w:sz w:val="24"/>
          <w:szCs w:val="24"/>
        </w:rPr>
        <w:t xml:space="preserve">et cytogénétique </w:t>
      </w:r>
      <w:bookmarkStart w:id="4" w:name="OLE_LINK4"/>
      <w:bookmarkStart w:id="5" w:name="OLE_LINK5"/>
      <w:bookmarkEnd w:id="1"/>
      <w:bookmarkEnd w:id="2"/>
      <w:bookmarkEnd w:id="3"/>
      <w:r>
        <w:rPr>
          <w:rFonts w:ascii="Times New Roman" w:hAnsi="Times New Roman" w:cs="Times New Roman"/>
          <w:sz w:val="24"/>
          <w:szCs w:val="24"/>
        </w:rPr>
        <w:t xml:space="preserve">a montré que 99 des spermogrammes réalisés sont pathologiques, 89% de spermocytogrammes sont pathologiques, une dominance de l’infertilité primaire, une détérioration de la vitalité des spermatozoïdes et de leur morphologie avec l’âge. Le dosage de la FSH et l’Inhibine B ne semblent pas être de bons indicateurs pour différencier les NOA des azoospermies excrétoires. Le syndrome du mâle XX ainsi que le syndrome de Klinefelter (SK) sont les plus retrouvés parmi les anomalies chromosomiques. </w:t>
      </w:r>
      <w:r>
        <w:rPr>
          <w:rStyle w:val="apple-converted-space"/>
          <w:rFonts w:ascii="Times New Roman" w:hAnsi="Times New Roman" w:cs="Times New Roman"/>
          <w:sz w:val="24"/>
          <w:szCs w:val="24"/>
        </w:rPr>
        <w:t xml:space="preserve">Un </w:t>
      </w:r>
      <w:r>
        <w:rPr>
          <w:rFonts w:ascii="Times New Roman" w:hAnsi="Times New Roman" w:cs="Times New Roman"/>
          <w:sz w:val="24"/>
          <w:szCs w:val="24"/>
        </w:rPr>
        <w:t>diagnostic complet et donc précis est nécessaire pour un traitement spécifique et une prise en charge par procréation médicalement assistée.</w:t>
      </w:r>
    </w:p>
    <w:bookmarkEnd w:id="4"/>
    <w:bookmarkEnd w:id="5"/>
    <w:p w:rsidR="00445AD1" w:rsidRDefault="00445AD1">
      <w:pPr>
        <w:spacing w:after="0" w:line="360" w:lineRule="auto"/>
        <w:jc w:val="both"/>
        <w:rPr>
          <w:rFonts w:ascii="Times New Roman" w:hAnsi="Times New Roman" w:cs="Times New Roman"/>
          <w:color w:val="252525"/>
          <w:sz w:val="24"/>
          <w:szCs w:val="24"/>
          <w:shd w:val="clear" w:color="auto" w:fill="FFFFFF"/>
        </w:rPr>
      </w:pPr>
    </w:p>
    <w:sectPr w:rsidR="00445AD1">
      <w:pgSz w:w="11906" w:h="16838"/>
      <w:pgMar w:top="1417" w:right="1417" w:bottom="1417" w:left="1417"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6325" w:rsidRDefault="00DC6325">
      <w:pPr>
        <w:spacing w:after="0" w:line="240" w:lineRule="auto"/>
      </w:pPr>
      <w:r>
        <w:separator/>
      </w:r>
    </w:p>
  </w:endnote>
  <w:endnote w:type="continuationSeparator" w:id="0">
    <w:p w:rsidR="00DC6325" w:rsidRDefault="00DC63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6325" w:rsidRDefault="00DC6325">
      <w:pPr>
        <w:spacing w:after="0" w:line="240" w:lineRule="auto"/>
      </w:pPr>
      <w:r>
        <w:rPr>
          <w:color w:val="000000"/>
        </w:rPr>
        <w:separator/>
      </w:r>
    </w:p>
  </w:footnote>
  <w:footnote w:type="continuationSeparator" w:id="0">
    <w:p w:rsidR="00DC6325" w:rsidRDefault="00DC632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5AD1"/>
    <w:rsid w:val="00445AD1"/>
    <w:rsid w:val="005D597F"/>
    <w:rsid w:val="007E69A1"/>
    <w:rsid w:val="00DA1E6B"/>
    <w:rsid w:val="00DC632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85349E1-E934-40B3-91ED-3E518A5CDF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sz w:val="22"/>
        <w:szCs w:val="22"/>
        <w:lang w:val="fr-FR" w:eastAsia="en-US" w:bidi="ar-SA"/>
      </w:rPr>
    </w:rPrDefault>
    <w:pPrDefault>
      <w:pPr>
        <w:autoSpaceDN w:val="0"/>
        <w:spacing w:after="200" w:line="276" w:lineRule="auto"/>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pPr>
    <w:rPr>
      <w:rFonts w:eastAsia="MS Mincho"/>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apple-converted-space">
    <w:name w:val="apple-converted-space"/>
    <w:basedOn w:val="Policepardfau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119</Words>
  <Characters>655</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naima</cp:lastModifiedBy>
  <cp:revision>4</cp:revision>
  <dcterms:created xsi:type="dcterms:W3CDTF">2018-04-15T22:11:00Z</dcterms:created>
  <dcterms:modified xsi:type="dcterms:W3CDTF">2018-06-26T14:19:00Z</dcterms:modified>
</cp:coreProperties>
</file>