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2ACC" w:rsidRPr="00502ACC" w:rsidRDefault="00502ACC" w:rsidP="00502ACC">
      <w:pPr>
        <w:spacing w:after="120" w:line="360" w:lineRule="auto"/>
        <w:jc w:val="both"/>
        <w:rPr>
          <w:rStyle w:val="hps"/>
          <w:rFonts w:ascii="Times New Roman" w:hAnsi="Times New Roman" w:cs="Times New Roman"/>
          <w:b/>
          <w:sz w:val="28"/>
          <w:szCs w:val="28"/>
        </w:rPr>
      </w:pPr>
      <w:r w:rsidRPr="00502ACC">
        <w:rPr>
          <w:rStyle w:val="hps"/>
          <w:rFonts w:ascii="Times New Roman" w:hAnsi="Times New Roman" w:cs="Times New Roman"/>
          <w:b/>
          <w:sz w:val="28"/>
          <w:szCs w:val="28"/>
        </w:rPr>
        <w:t>Résumé</w:t>
      </w:r>
    </w:p>
    <w:p w:rsidR="00502ACC" w:rsidRPr="00502ACC" w:rsidRDefault="00502ACC" w:rsidP="00502ACC">
      <w:pPr>
        <w:spacing w:after="60" w:line="360" w:lineRule="auto"/>
        <w:jc w:val="both"/>
        <w:rPr>
          <w:rFonts w:ascii="Times New Roman" w:hAnsi="Times New Roman" w:cs="Times New Roman"/>
          <w:sz w:val="24"/>
          <w:szCs w:val="24"/>
        </w:rPr>
      </w:pPr>
      <w:r w:rsidRPr="00502ACC">
        <w:rPr>
          <w:rFonts w:ascii="Times New Roman" w:hAnsi="Times New Roman" w:cs="Times New Roman"/>
          <w:sz w:val="24"/>
          <w:szCs w:val="24"/>
        </w:rPr>
        <w:t xml:space="preserve">Face à la rareté de l’eau et à des </w:t>
      </w:r>
      <w:r w:rsidRPr="00502ACC">
        <w:rPr>
          <w:rFonts w:ascii="Times New Roman" w:hAnsi="Times New Roman" w:cs="Times New Roman"/>
          <w:iCs/>
          <w:sz w:val="24"/>
          <w:szCs w:val="24"/>
        </w:rPr>
        <w:t>conditions extrêmes qui règnent dans le milieu saharien,</w:t>
      </w:r>
      <w:r w:rsidRPr="00502ACC">
        <w:rPr>
          <w:rFonts w:ascii="Times New Roman" w:hAnsi="Times New Roman" w:cs="Times New Roman"/>
          <w:i/>
          <w:iCs/>
          <w:sz w:val="24"/>
          <w:szCs w:val="24"/>
        </w:rPr>
        <w:t xml:space="preserve"> Uromastix acanthinurus</w:t>
      </w:r>
      <w:r w:rsidRPr="00502ACC">
        <w:rPr>
          <w:rFonts w:ascii="Times New Roman" w:hAnsi="Times New Roman" w:cs="Times New Roman"/>
          <w:sz w:val="24"/>
          <w:szCs w:val="24"/>
        </w:rPr>
        <w:t xml:space="preserve">, </w:t>
      </w:r>
      <w:r w:rsidRPr="00502ACC">
        <w:rPr>
          <w:rFonts w:asciiTheme="majorBidi" w:hAnsiTheme="majorBidi" w:cstheme="majorBidi"/>
          <w:sz w:val="24"/>
          <w:szCs w:val="24"/>
        </w:rPr>
        <w:t xml:space="preserve">un agamidé herbivore déserticole de mœurs diurne, </w:t>
      </w:r>
      <w:r w:rsidRPr="00502ACC">
        <w:rPr>
          <w:rFonts w:ascii="Times New Roman" w:hAnsi="Times New Roman" w:cs="Times New Roman"/>
          <w:sz w:val="24"/>
          <w:szCs w:val="24"/>
        </w:rPr>
        <w:t xml:space="preserve">a acquis une indépendance vis-à-vis de l’eau de boisson. Mis à part </w:t>
      </w:r>
      <w:r w:rsidRPr="00502ACC">
        <w:rPr>
          <w:rFonts w:asciiTheme="majorBidi" w:hAnsiTheme="majorBidi" w:cstheme="majorBidi"/>
          <w:sz w:val="24"/>
          <w:szCs w:val="24"/>
        </w:rPr>
        <w:t xml:space="preserve">l’eau </w:t>
      </w:r>
      <w:r w:rsidR="00600D29">
        <w:rPr>
          <w:rFonts w:asciiTheme="majorBidi" w:hAnsiTheme="majorBidi" w:cstheme="majorBidi"/>
          <w:sz w:val="24"/>
          <w:szCs w:val="24"/>
        </w:rPr>
        <w:t xml:space="preserve">de son </w:t>
      </w:r>
      <w:r w:rsidRPr="00502ACC">
        <w:rPr>
          <w:rFonts w:asciiTheme="majorBidi" w:hAnsiTheme="majorBidi" w:cstheme="majorBidi"/>
          <w:sz w:val="24"/>
          <w:szCs w:val="24"/>
        </w:rPr>
        <w:t>métaboli</w:t>
      </w:r>
      <w:r w:rsidR="00600D29">
        <w:rPr>
          <w:rFonts w:asciiTheme="majorBidi" w:hAnsiTheme="majorBidi" w:cstheme="majorBidi"/>
          <w:sz w:val="24"/>
          <w:szCs w:val="24"/>
        </w:rPr>
        <w:t>sm</w:t>
      </w:r>
      <w:r w:rsidRPr="00502ACC">
        <w:rPr>
          <w:rFonts w:asciiTheme="majorBidi" w:hAnsiTheme="majorBidi" w:cstheme="majorBidi"/>
          <w:sz w:val="24"/>
          <w:szCs w:val="24"/>
        </w:rPr>
        <w:t xml:space="preserve">e, son alimentation végétale représente le seul apport hydrique. Les plantes ingérées sont source d’un grand apport en sels dû à leur forte concentration en Na+ et K+. </w:t>
      </w:r>
      <w:r w:rsidRPr="00502ACC">
        <w:rPr>
          <w:rFonts w:ascii="Times New Roman" w:hAnsi="Times New Roman" w:cs="Times New Roman"/>
          <w:sz w:val="24"/>
          <w:szCs w:val="24"/>
        </w:rPr>
        <w:t>Face à cette menace permanente de déshydratation,</w:t>
      </w:r>
      <w:r w:rsidRPr="00502ACC">
        <w:rPr>
          <w:rFonts w:ascii="Times New Roman" w:eastAsia="Times New Roman" w:hAnsi="Times New Roman" w:cs="Times New Roman"/>
          <w:sz w:val="24"/>
          <w:szCs w:val="24"/>
        </w:rPr>
        <w:t xml:space="preserve"> plusieurs mécanismes physiologiques mis en place ont permis à ce reptile de résister à la restriction de l’eau qui caractérise ces contrées. Le rein est l’un des organes fortement impliqués dans l’équilibre hydrominéral de l’organisme. Son étude morpho-fonctionnelle a montré des particularités </w:t>
      </w:r>
      <w:r w:rsidRPr="00502ACC">
        <w:rPr>
          <w:rFonts w:ascii="Times New Roman" w:hAnsi="Times New Roman" w:cs="Times New Roman"/>
          <w:sz w:val="24"/>
          <w:szCs w:val="24"/>
        </w:rPr>
        <w:t>susceptibles de jouer un rôle dans la préservation de l’eau corporelle contribuant à son adaptation à cet environnement hostile. La structure</w:t>
      </w:r>
      <w:r w:rsidR="00F903C0">
        <w:rPr>
          <w:rFonts w:ascii="Times New Roman" w:eastAsia="Times New Roman" w:hAnsi="Times New Roman" w:cs="Times New Roman"/>
          <w:sz w:val="24"/>
          <w:szCs w:val="24"/>
        </w:rPr>
        <w:t xml:space="preserve"> de cet organe a</w:t>
      </w:r>
      <w:r w:rsidRPr="00502ACC">
        <w:rPr>
          <w:rFonts w:ascii="Times New Roman" w:eastAsia="Times New Roman" w:hAnsi="Times New Roman" w:cs="Times New Roman"/>
          <w:sz w:val="24"/>
          <w:szCs w:val="24"/>
        </w:rPr>
        <w:t xml:space="preserve"> montré une répartition homogène des constituants rénaux avec un dimorphisme sexuel apparent. Chez la femelle, le parenchyme rénal présente une faible densité glomérulaire</w:t>
      </w:r>
      <w:r w:rsidRPr="00502ACC">
        <w:rPr>
          <w:rFonts w:ascii="Times New Roman" w:hAnsi="Times New Roman" w:cs="Times New Roman"/>
          <w:bCs/>
          <w:sz w:val="24"/>
          <w:szCs w:val="24"/>
        </w:rPr>
        <w:t xml:space="preserve"> avec un peloton vasculaire peu ramifié. Chez le mâle, les glomérules sont moins nombreux que ceux de la femelle mais présentent un diamètre plus élevé</w:t>
      </w:r>
      <w:r w:rsidRPr="00502ACC">
        <w:rPr>
          <w:rFonts w:ascii="Times New Roman" w:hAnsi="Times New Roman" w:cs="Times New Roman"/>
          <w:sz w:val="24"/>
          <w:szCs w:val="24"/>
        </w:rPr>
        <w:t>. Chez les deux sexes, le tubule rénal de longueur importante présente une bordure en brosse et une grande activité sécrétoire. L’épithélium cubique du tubule contourné proximal (TCP) est le siège d’un</w:t>
      </w:r>
      <w:r w:rsidR="00F903C0">
        <w:rPr>
          <w:rFonts w:ascii="Times New Roman" w:hAnsi="Times New Roman" w:cs="Times New Roman"/>
          <w:sz w:val="24"/>
          <w:szCs w:val="24"/>
        </w:rPr>
        <w:t>e grande réabsorption apicale du</w:t>
      </w:r>
      <w:r w:rsidRPr="00502ACC">
        <w:rPr>
          <w:rFonts w:ascii="Times New Roman" w:hAnsi="Times New Roman" w:cs="Times New Roman"/>
          <w:sz w:val="24"/>
          <w:szCs w:val="24"/>
        </w:rPr>
        <w:t xml:space="preserve"> filtrat glomérulaire et d’une sécrétion de produits polysaccharidiques dans la lumière. Le segment intermédiaire (SI) est court présentant des cellules claires et cubiques entre lesquelles s’intercalent de rares cellules sombres. Le tubule contourné distal (TCD) est le siège d’une importante sécrétion de mucopolysaccharides acides et se caractérise par la présence de structures fibrillaires basales et latérales. Le tubule collecteur (TC) particulièrement long est formé de trois segments de structure différente. </w:t>
      </w:r>
      <w:r w:rsidR="00600D29">
        <w:rPr>
          <w:rFonts w:ascii="Times New Roman" w:hAnsi="Times New Roman" w:cs="Times New Roman"/>
          <w:sz w:val="24"/>
          <w:szCs w:val="24"/>
        </w:rPr>
        <w:t>Les</w:t>
      </w:r>
      <w:r w:rsidRPr="00502ACC">
        <w:rPr>
          <w:rFonts w:ascii="Times New Roman" w:hAnsi="Times New Roman" w:cs="Times New Roman"/>
          <w:sz w:val="24"/>
          <w:szCs w:val="24"/>
        </w:rPr>
        <w:t xml:space="preserve"> deux premiers segments présentent une activité sécrétoire apocrine de produits polysaccharidique. Le troisième segment se caractérise par une ségrégation du cytoplasme cellulaire délimitant une région condensée autour du noyau et une région périphérique comportant des structures fibrillaires basales et latérales. Les canaux excréteurs rénaux pré</w:t>
      </w:r>
      <w:r w:rsidR="00F903C0">
        <w:rPr>
          <w:rFonts w:ascii="Times New Roman" w:hAnsi="Times New Roman" w:cs="Times New Roman"/>
          <w:sz w:val="24"/>
          <w:szCs w:val="24"/>
        </w:rPr>
        <w:t>sentent un dimorphisme sexuel dû</w:t>
      </w:r>
      <w:r w:rsidRPr="00502ACC">
        <w:rPr>
          <w:rFonts w:ascii="Times New Roman" w:hAnsi="Times New Roman" w:cs="Times New Roman"/>
          <w:sz w:val="24"/>
          <w:szCs w:val="24"/>
        </w:rPr>
        <w:t xml:space="preserve"> à la présence d’un segment sexuel chez le mâle. Les canaux excréteurs chez la femelle ainsi que la première partie des canaux excréteurs chez le mâle sont le siège d’une grande sécrétion de mucopolysaccharides neutres et acides. La deuxième partie du canal excréteur ou segment sexuel chez le mâle présente une intense activité sécrétoire de mucopolysaccharides acides et d’un autre produit polysaccharidique.</w:t>
      </w:r>
    </w:p>
    <w:p w:rsidR="00502ACC" w:rsidRPr="00502ACC" w:rsidRDefault="00502ACC" w:rsidP="00502ACC">
      <w:pPr>
        <w:spacing w:line="360" w:lineRule="auto"/>
        <w:jc w:val="both"/>
        <w:rPr>
          <w:rFonts w:ascii="Times New Roman" w:hAnsi="Times New Roman" w:cs="Times New Roman"/>
          <w:sz w:val="24"/>
          <w:szCs w:val="24"/>
        </w:rPr>
      </w:pPr>
      <w:r w:rsidRPr="00502ACC">
        <w:rPr>
          <w:rFonts w:ascii="Times New Roman" w:hAnsi="Times New Roman" w:cs="Times New Roman"/>
          <w:sz w:val="24"/>
          <w:szCs w:val="24"/>
        </w:rPr>
        <w:tab/>
      </w:r>
      <w:r w:rsidRPr="00502ACC">
        <w:rPr>
          <w:rFonts w:ascii="Times New Roman" w:hAnsi="Times New Roman" w:cs="Times New Roman"/>
          <w:sz w:val="20"/>
          <w:szCs w:val="20"/>
        </w:rPr>
        <w:t xml:space="preserve">Mots clef : Structure ; Cytologie ; Rein ; </w:t>
      </w:r>
      <w:r>
        <w:rPr>
          <w:rFonts w:ascii="Times New Roman" w:hAnsi="Times New Roman" w:cs="Times New Roman"/>
          <w:sz w:val="20"/>
          <w:szCs w:val="20"/>
        </w:rPr>
        <w:t xml:space="preserve">Lézard </w:t>
      </w:r>
      <w:r w:rsidR="003E4951">
        <w:rPr>
          <w:rFonts w:ascii="Times New Roman" w:hAnsi="Times New Roman" w:cs="Times New Roman"/>
          <w:sz w:val="20"/>
          <w:szCs w:val="20"/>
        </w:rPr>
        <w:t>s</w:t>
      </w:r>
      <w:r w:rsidRPr="00502ACC">
        <w:rPr>
          <w:rFonts w:ascii="Times New Roman" w:hAnsi="Times New Roman" w:cs="Times New Roman"/>
          <w:sz w:val="20"/>
          <w:szCs w:val="20"/>
        </w:rPr>
        <w:t xml:space="preserve">aharien ; </w:t>
      </w:r>
      <w:r w:rsidRPr="00502ACC">
        <w:rPr>
          <w:rFonts w:ascii="Times New Roman" w:hAnsi="Times New Roman" w:cs="Times New Roman"/>
          <w:i/>
          <w:sz w:val="20"/>
          <w:szCs w:val="20"/>
        </w:rPr>
        <w:t>Uromastix acanthinurus</w:t>
      </w:r>
      <w:r>
        <w:rPr>
          <w:rFonts w:ascii="Times New Roman" w:hAnsi="Times New Roman" w:cs="Times New Roman"/>
          <w:i/>
          <w:sz w:val="20"/>
          <w:szCs w:val="20"/>
        </w:rPr>
        <w:t>.</w:t>
      </w:r>
    </w:p>
    <w:sectPr w:rsidR="00502ACC" w:rsidRPr="00502ACC" w:rsidSect="00600D29">
      <w:footerReference w:type="default" r:id="rId6"/>
      <w:pgSz w:w="11906" w:h="16838"/>
      <w:pgMar w:top="1276" w:right="1417" w:bottom="709" w:left="1417" w:header="708" w:footer="708" w:gutter="0"/>
      <w:pgNumType w:start="68"/>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24025" w:rsidRDefault="00824025" w:rsidP="00C43027">
      <w:pPr>
        <w:spacing w:after="0" w:line="240" w:lineRule="auto"/>
      </w:pPr>
      <w:r>
        <w:separator/>
      </w:r>
    </w:p>
  </w:endnote>
  <w:endnote w:type="continuationSeparator" w:id="1">
    <w:p w:rsidR="00824025" w:rsidRDefault="00824025" w:rsidP="00C4302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6D2B" w:rsidRDefault="0082402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24025" w:rsidRDefault="00824025" w:rsidP="00C43027">
      <w:pPr>
        <w:spacing w:after="0" w:line="240" w:lineRule="auto"/>
      </w:pPr>
      <w:r>
        <w:separator/>
      </w:r>
    </w:p>
  </w:footnote>
  <w:footnote w:type="continuationSeparator" w:id="1">
    <w:p w:rsidR="00824025" w:rsidRDefault="00824025" w:rsidP="00C43027">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6F61EA"/>
    <w:rsid w:val="00052B0C"/>
    <w:rsid w:val="00066D10"/>
    <w:rsid w:val="00067BD2"/>
    <w:rsid w:val="00082183"/>
    <w:rsid w:val="00086CEC"/>
    <w:rsid w:val="00101FA2"/>
    <w:rsid w:val="001619E0"/>
    <w:rsid w:val="00181277"/>
    <w:rsid w:val="001D1C2A"/>
    <w:rsid w:val="00210FD3"/>
    <w:rsid w:val="00256F94"/>
    <w:rsid w:val="002959B5"/>
    <w:rsid w:val="002B1913"/>
    <w:rsid w:val="003C2B5B"/>
    <w:rsid w:val="003E4951"/>
    <w:rsid w:val="004A07E0"/>
    <w:rsid w:val="004A6650"/>
    <w:rsid w:val="00502ACC"/>
    <w:rsid w:val="0059754E"/>
    <w:rsid w:val="005A223A"/>
    <w:rsid w:val="00600D29"/>
    <w:rsid w:val="00662605"/>
    <w:rsid w:val="006F61EA"/>
    <w:rsid w:val="007313B9"/>
    <w:rsid w:val="007514FC"/>
    <w:rsid w:val="007656F8"/>
    <w:rsid w:val="00791946"/>
    <w:rsid w:val="00824025"/>
    <w:rsid w:val="0088503C"/>
    <w:rsid w:val="008E4191"/>
    <w:rsid w:val="008F2CFB"/>
    <w:rsid w:val="00954175"/>
    <w:rsid w:val="009947D9"/>
    <w:rsid w:val="009B61DF"/>
    <w:rsid w:val="009F70BD"/>
    <w:rsid w:val="00A62C68"/>
    <w:rsid w:val="00A671C7"/>
    <w:rsid w:val="00AD4C56"/>
    <w:rsid w:val="00AE7275"/>
    <w:rsid w:val="00AF3BC4"/>
    <w:rsid w:val="00B76004"/>
    <w:rsid w:val="00BB3EE8"/>
    <w:rsid w:val="00C43027"/>
    <w:rsid w:val="00C86E3E"/>
    <w:rsid w:val="00C969F5"/>
    <w:rsid w:val="00CA7453"/>
    <w:rsid w:val="00E37264"/>
    <w:rsid w:val="00E90D36"/>
    <w:rsid w:val="00F903C0"/>
    <w:rsid w:val="00FB2F8D"/>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61EA"/>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ps">
    <w:name w:val="hps"/>
    <w:basedOn w:val="Policepardfaut"/>
    <w:rsid w:val="006F61EA"/>
  </w:style>
  <w:style w:type="paragraph" w:styleId="Pieddepage">
    <w:name w:val="footer"/>
    <w:basedOn w:val="Normal"/>
    <w:link w:val="PieddepageCar"/>
    <w:uiPriority w:val="99"/>
    <w:unhideWhenUsed/>
    <w:rsid w:val="006F61E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F61EA"/>
    <w:rPr>
      <w:rFonts w:eastAsiaTheme="minorEastAsia"/>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388</TotalTime>
  <Pages>1</Pages>
  <Words>444</Words>
  <Characters>2443</Characters>
  <Application>Microsoft Office Word</Application>
  <DocSecurity>0</DocSecurity>
  <Lines>20</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2882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Amina</dc:creator>
  <cp:lastModifiedBy>Amina</cp:lastModifiedBy>
  <cp:revision>16</cp:revision>
  <cp:lastPrinted>2012-05-25T11:15:00Z</cp:lastPrinted>
  <dcterms:created xsi:type="dcterms:W3CDTF">2012-05-25T10:11:00Z</dcterms:created>
  <dcterms:modified xsi:type="dcterms:W3CDTF">2012-11-27T19:51:00Z</dcterms:modified>
</cp:coreProperties>
</file>