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609A" w:rsidRPr="0041609A" w:rsidRDefault="0041609A" w:rsidP="0041609A">
      <w:pPr>
        <w:bidi w:val="0"/>
        <w:rPr>
          <w:lang w:val="fr-FR" w:bidi="ar-DZ"/>
        </w:rPr>
      </w:pPr>
      <w:r w:rsidRPr="0041609A">
        <w:rPr>
          <w:lang w:val="fr-FR" w:bidi="ar-DZ"/>
        </w:rPr>
        <w:t xml:space="preserve">  L’objectif de cette étude est de montrer l’effet de l’inertie d’un fluide visqueux newtonien sur l’écoulement en présence </w:t>
      </w:r>
    </w:p>
    <w:p w:rsidR="0041609A" w:rsidRPr="0041609A" w:rsidRDefault="0041609A" w:rsidP="0041609A">
      <w:pPr>
        <w:bidi w:val="0"/>
        <w:rPr>
          <w:lang w:val="fr-FR" w:bidi="ar-DZ"/>
        </w:rPr>
      </w:pPr>
      <w:r w:rsidRPr="0041609A">
        <w:rPr>
          <w:lang w:val="fr-FR" w:bidi="ar-DZ"/>
        </w:rPr>
        <w:t xml:space="preserve"> d’une sténose, et en particulier sur l’évolution de la contrainte de cisaillement pariétale  et les pertes de charges</w:t>
      </w:r>
    </w:p>
    <w:p w:rsidR="0041609A" w:rsidRPr="0041609A" w:rsidRDefault="0041609A" w:rsidP="0041609A">
      <w:pPr>
        <w:bidi w:val="0"/>
        <w:rPr>
          <w:lang w:val="fr-FR" w:bidi="ar-DZ"/>
        </w:rPr>
      </w:pPr>
      <w:r w:rsidRPr="0041609A">
        <w:rPr>
          <w:lang w:val="fr-FR" w:bidi="ar-DZ"/>
        </w:rPr>
        <w:t xml:space="preserve"> engendrées. La détermination de la valeur  de la contrainte de cisaillement  pariétale au centre de la sténose est effectuée</w:t>
      </w:r>
    </w:p>
    <w:p w:rsidR="0041609A" w:rsidRPr="0041609A" w:rsidRDefault="0041609A" w:rsidP="0041609A">
      <w:pPr>
        <w:bidi w:val="0"/>
        <w:rPr>
          <w:lang w:val="fr-FR" w:bidi="ar-DZ"/>
        </w:rPr>
      </w:pPr>
      <w:r w:rsidRPr="0041609A">
        <w:rPr>
          <w:lang w:val="fr-FR" w:bidi="ar-DZ"/>
        </w:rPr>
        <w:t xml:space="preserve"> par deux méthodes. La première méthode utilise la relation théorique de Morgan et Young, et la seconde est basée sur les</w:t>
      </w:r>
    </w:p>
    <w:p w:rsidR="0041609A" w:rsidRPr="0041609A" w:rsidRDefault="0041609A" w:rsidP="0041609A">
      <w:pPr>
        <w:bidi w:val="0"/>
        <w:rPr>
          <w:lang w:val="fr-FR" w:bidi="ar-DZ"/>
        </w:rPr>
      </w:pPr>
      <w:r w:rsidRPr="0041609A">
        <w:rPr>
          <w:lang w:val="fr-FR" w:bidi="ar-DZ"/>
        </w:rPr>
        <w:t xml:space="preserve"> travaux analytiques de Thwaites, adaptés en modèle numérique par Jasan (modèle du rayon fictif). Les résultats de ces</w:t>
      </w:r>
    </w:p>
    <w:p w:rsidR="0041609A" w:rsidRPr="0041609A" w:rsidRDefault="0041609A" w:rsidP="0041609A">
      <w:pPr>
        <w:bidi w:val="0"/>
        <w:rPr>
          <w:lang w:val="fr-FR" w:bidi="ar-DZ"/>
        </w:rPr>
      </w:pPr>
      <w:r w:rsidRPr="0041609A">
        <w:rPr>
          <w:lang w:val="fr-FR" w:bidi="ar-DZ"/>
        </w:rPr>
        <w:t xml:space="preserve"> deux méthodes concernent les sténoses de forme sinusoïdale et conique, avec différents degrés de contraction ; en</w:t>
      </w:r>
    </w:p>
    <w:p w:rsidR="00556B1D" w:rsidRPr="0041609A" w:rsidRDefault="0041609A" w:rsidP="0041609A">
      <w:pPr>
        <w:bidi w:val="0"/>
        <w:rPr>
          <w:rFonts w:hint="cs"/>
          <w:lang w:val="fr-FR" w:bidi="ar-DZ"/>
        </w:rPr>
      </w:pPr>
      <w:r w:rsidRPr="0041609A">
        <w:rPr>
          <w:lang w:val="fr-FR" w:bidi="ar-DZ"/>
        </w:rPr>
        <w:t xml:space="preserve"> utilisant deux fluides tests, l’eau distillée et les données physiologiques du sang.</w:t>
      </w:r>
    </w:p>
    <w:sectPr w:rsidR="00556B1D" w:rsidRPr="0041609A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41609A"/>
    <w:rsid w:val="0041609A"/>
    <w:rsid w:val="00556B1D"/>
    <w:rsid w:val="006D57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6B1D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691</Characters>
  <Application>Microsoft Office Word</Application>
  <DocSecurity>0</DocSecurity>
  <Lines>5</Lines>
  <Paragraphs>1</Paragraphs>
  <ScaleCrop>false</ScaleCrop>
  <Company/>
  <LinksUpToDate>false</LinksUpToDate>
  <CharactersWithSpaces>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2015-04-07T12:43:00Z</dcterms:created>
  <dcterms:modified xsi:type="dcterms:W3CDTF">2015-04-07T12:44:00Z</dcterms:modified>
</cp:coreProperties>
</file>