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72D9" w:rsidRPr="0064338C" w:rsidRDefault="00DB72D9" w:rsidP="00DB72D9">
      <w:pPr>
        <w:spacing w:after="0" w:line="240" w:lineRule="auto"/>
        <w:ind w:right="34" w:firstLine="720"/>
        <w:jc w:val="center"/>
        <w:rPr>
          <w:rFonts w:asciiTheme="majorBidi" w:hAnsiTheme="majorBidi" w:cstheme="majorBidi"/>
          <w:b/>
          <w:sz w:val="32"/>
          <w:szCs w:val="32"/>
          <w:lang w:val="fr-FR"/>
        </w:rPr>
      </w:pPr>
      <w:r w:rsidRPr="0064338C">
        <w:rPr>
          <w:rFonts w:asciiTheme="majorBidi" w:hAnsiTheme="majorBidi" w:cstheme="majorBidi"/>
          <w:b/>
          <w:sz w:val="32"/>
          <w:szCs w:val="32"/>
          <w:lang w:val="fr-FR"/>
        </w:rPr>
        <w:t>RESUME</w:t>
      </w:r>
    </w:p>
    <w:p w:rsidR="00DB72D9" w:rsidRPr="0064338C" w:rsidRDefault="00DB72D9" w:rsidP="00DB72D9">
      <w:pPr>
        <w:spacing w:after="0" w:line="240" w:lineRule="auto"/>
        <w:ind w:right="34" w:firstLine="720"/>
        <w:jc w:val="center"/>
        <w:rPr>
          <w:rFonts w:asciiTheme="majorBidi" w:hAnsiTheme="majorBidi" w:cstheme="majorBidi"/>
          <w:b/>
          <w:sz w:val="24"/>
          <w:szCs w:val="24"/>
          <w:lang w:val="fr-FR"/>
        </w:rPr>
      </w:pPr>
    </w:p>
    <w:p w:rsidR="00DB72D9" w:rsidRPr="00712D81" w:rsidRDefault="00DB72D9" w:rsidP="00DB72D9">
      <w:pPr>
        <w:spacing w:line="360" w:lineRule="auto"/>
        <w:jc w:val="both"/>
        <w:rPr>
          <w:rFonts w:asciiTheme="majorBidi" w:hAnsiTheme="majorBidi" w:cstheme="majorBidi"/>
          <w:bCs/>
          <w:lang w:val="fr-FR" w:bidi="ar-DZ"/>
        </w:rPr>
      </w:pPr>
      <w:r w:rsidRPr="00712D81">
        <w:rPr>
          <w:rFonts w:asciiTheme="majorBidi" w:hAnsiTheme="majorBidi" w:cstheme="majorBidi"/>
          <w:bCs/>
          <w:color w:val="FF0000"/>
          <w:sz w:val="24"/>
          <w:szCs w:val="24"/>
          <w:lang w:val="fr-FR" w:bidi="ar-DZ"/>
        </w:rPr>
        <w:tab/>
      </w:r>
      <w:r w:rsidRPr="00712D81">
        <w:rPr>
          <w:rFonts w:asciiTheme="majorBidi" w:hAnsiTheme="majorBidi" w:cstheme="majorBidi"/>
          <w:bCs/>
          <w:lang w:val="fr-FR" w:bidi="ar-DZ"/>
        </w:rPr>
        <w:t xml:space="preserve">L'analyse numérique des transferts de chaleur et de masse d'un fluide non-Newtonien dans un canal à plaques parallèles partiellement rempli d'un milieu poreux anisotrope sujet à un écoulement oscillatoire et une réaction chimique exothermique sur ses parois est effectuée. </w:t>
      </w:r>
      <w:r w:rsidR="00AF66B1" w:rsidRPr="00712D81">
        <w:rPr>
          <w:rFonts w:asciiTheme="majorBidi" w:hAnsiTheme="majorBidi" w:cstheme="majorBidi"/>
          <w:bCs/>
          <w:lang w:val="fr-FR" w:bidi="ar-DZ"/>
        </w:rPr>
        <w:t>L’anisotropie</w:t>
      </w:r>
      <w:r w:rsidRPr="00712D81">
        <w:rPr>
          <w:rFonts w:asciiTheme="majorBidi" w:hAnsiTheme="majorBidi" w:cstheme="majorBidi"/>
          <w:bCs/>
          <w:lang w:val="fr-FR" w:bidi="ar-DZ"/>
        </w:rPr>
        <w:t xml:space="preserve"> d'un milieu poreux conduit à des améliorations significatives des transferts de chaleur et de masse par rapport au cas isotrope. Les fluides dilatants présentent les valeurs les plus élevées des nombres de </w:t>
      </w:r>
      <w:proofErr w:type="spellStart"/>
      <w:r w:rsidRPr="00712D81">
        <w:rPr>
          <w:rFonts w:asciiTheme="majorBidi" w:hAnsiTheme="majorBidi" w:cstheme="majorBidi"/>
          <w:bCs/>
          <w:lang w:val="fr-FR" w:bidi="ar-DZ"/>
        </w:rPr>
        <w:t>Nusselt</w:t>
      </w:r>
      <w:proofErr w:type="spellEnd"/>
      <w:r w:rsidRPr="00712D81">
        <w:rPr>
          <w:rFonts w:asciiTheme="majorBidi" w:hAnsiTheme="majorBidi" w:cstheme="majorBidi"/>
          <w:bCs/>
          <w:lang w:val="fr-FR" w:bidi="ar-DZ"/>
        </w:rPr>
        <w:t xml:space="preserve"> et de Sherwood moyens aux grands nombres de Darcy. L'augmentation des paramètres de  réaction chimique diminue les taux de transferts de chaleur et de masse. Enfin, il a été trouvé que l'amplitude et la fréquence d'oscillation augmentent les taux de transferts.</w:t>
      </w:r>
    </w:p>
    <w:p w:rsidR="005F7B4D" w:rsidRDefault="005F7B4D" w:rsidP="002C1BA5">
      <w:pPr>
        <w:jc w:val="center"/>
        <w:rPr>
          <w:rFonts w:asciiTheme="majorBidi" w:hAnsiTheme="majorBidi" w:cstheme="majorBidi"/>
          <w:b/>
          <w:sz w:val="32"/>
          <w:szCs w:val="32"/>
          <w:lang w:bidi="ar-DZ"/>
        </w:rPr>
      </w:pPr>
    </w:p>
    <w:p w:rsidR="005F7B4D" w:rsidRDefault="005F7B4D" w:rsidP="002C1BA5">
      <w:pPr>
        <w:jc w:val="center"/>
        <w:rPr>
          <w:rFonts w:asciiTheme="majorBidi" w:hAnsiTheme="majorBidi" w:cstheme="majorBidi"/>
          <w:b/>
          <w:sz w:val="32"/>
          <w:szCs w:val="32"/>
          <w:lang w:bidi="ar-DZ"/>
        </w:rPr>
      </w:pPr>
    </w:p>
    <w:p w:rsidR="002C1BA5" w:rsidRPr="002C1BA5" w:rsidRDefault="002C1BA5" w:rsidP="002C1BA5">
      <w:pPr>
        <w:jc w:val="center"/>
        <w:rPr>
          <w:rFonts w:asciiTheme="majorBidi" w:hAnsiTheme="majorBidi" w:cstheme="majorBidi"/>
          <w:b/>
          <w:sz w:val="32"/>
          <w:szCs w:val="32"/>
          <w:lang w:bidi="ar-DZ"/>
        </w:rPr>
      </w:pPr>
      <w:bookmarkStart w:id="0" w:name="_GoBack"/>
      <w:bookmarkEnd w:id="0"/>
      <w:r w:rsidRPr="002C1BA5">
        <w:rPr>
          <w:rFonts w:asciiTheme="majorBidi" w:hAnsiTheme="majorBidi" w:cstheme="majorBidi"/>
          <w:b/>
          <w:sz w:val="32"/>
          <w:szCs w:val="32"/>
          <w:lang w:bidi="ar-DZ"/>
        </w:rPr>
        <w:t>ABSTRACT</w:t>
      </w:r>
    </w:p>
    <w:p w:rsidR="002C1BA5" w:rsidRPr="002C1BA5" w:rsidRDefault="002C1BA5" w:rsidP="002C1BA5">
      <w:pPr>
        <w:widowControl/>
        <w:autoSpaceDE w:val="0"/>
        <w:autoSpaceDN w:val="0"/>
        <w:spacing w:after="0" w:line="360" w:lineRule="auto"/>
        <w:jc w:val="both"/>
        <w:rPr>
          <w:rFonts w:asciiTheme="majorBidi" w:eastAsia="Calibri" w:hAnsiTheme="majorBidi" w:cstheme="majorBidi"/>
          <w:color w:val="000000"/>
        </w:rPr>
      </w:pPr>
      <w:r w:rsidRPr="002C1BA5">
        <w:rPr>
          <w:rFonts w:asciiTheme="majorBidi" w:eastAsia="Calibri" w:hAnsiTheme="majorBidi" w:cstheme="majorBidi"/>
          <w:color w:val="000000"/>
        </w:rPr>
        <w:tab/>
        <w:t xml:space="preserve">Numerical analysis of heat and mass transfer of a non-Newtonian fluid in a parallel-plate channel partly filled with an anisotropic porous medium and subjected to an oscillating flow and exothermic chemical reaction on its walls is conducted. The results highlight the situations for which the anisotropy of a porous medium leads to significant improvements in heat and mass transfer compared to the isotropic case. The shear-thickening fluids exhibit the highest values of mean </w:t>
      </w:r>
      <w:proofErr w:type="spellStart"/>
      <w:r w:rsidRPr="002C1BA5">
        <w:rPr>
          <w:rFonts w:asciiTheme="majorBidi" w:eastAsia="Calibri" w:hAnsiTheme="majorBidi" w:cstheme="majorBidi"/>
          <w:color w:val="000000"/>
        </w:rPr>
        <w:t>Nusselt</w:t>
      </w:r>
      <w:proofErr w:type="spellEnd"/>
      <w:r w:rsidRPr="002C1BA5">
        <w:rPr>
          <w:rFonts w:asciiTheme="majorBidi" w:eastAsia="Calibri" w:hAnsiTheme="majorBidi" w:cstheme="majorBidi"/>
          <w:color w:val="000000"/>
        </w:rPr>
        <w:t xml:space="preserve"> and Sherwood numbers at large Darcy number. The increase of the parameters of chemical reaction decreases the heat and mass transfer rates. Finally, it is found that the amplitude and frequency of oscillation increase the transfer rates. </w:t>
      </w:r>
    </w:p>
    <w:p w:rsidR="002C1BA5" w:rsidRPr="002C1BA5" w:rsidRDefault="002C1BA5" w:rsidP="00DB72D9">
      <w:pPr>
        <w:spacing w:line="360" w:lineRule="auto"/>
        <w:jc w:val="both"/>
        <w:rPr>
          <w:rFonts w:asciiTheme="majorBidi" w:hAnsiTheme="majorBidi" w:cstheme="majorBidi"/>
          <w:bCs/>
          <w:lang w:bidi="ar-DZ"/>
        </w:rPr>
      </w:pPr>
    </w:p>
    <w:p w:rsidR="00DB5667" w:rsidRPr="002C1BA5" w:rsidRDefault="00DB5667"/>
    <w:sectPr w:rsidR="00DB5667" w:rsidRPr="002C1BA5" w:rsidSect="00DB5667">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78A7" w:rsidRDefault="004278A7">
      <w:pPr>
        <w:spacing w:after="0" w:line="240" w:lineRule="auto"/>
      </w:pPr>
      <w:r>
        <w:separator/>
      </w:r>
    </w:p>
  </w:endnote>
  <w:endnote w:type="continuationSeparator" w:id="0">
    <w:p w:rsidR="004278A7" w:rsidRDefault="004278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text" w:tblpY="1"/>
      <w:tblW w:w="5000" w:type="pct"/>
      <w:tblLook w:val="04A0" w:firstRow="1" w:lastRow="0" w:firstColumn="1" w:lastColumn="0" w:noHBand="0" w:noVBand="1"/>
    </w:tblPr>
    <w:tblGrid>
      <w:gridCol w:w="4179"/>
      <w:gridCol w:w="929"/>
      <w:gridCol w:w="4180"/>
    </w:tblGrid>
    <w:tr w:rsidR="002C1BA5">
      <w:trPr>
        <w:trHeight w:val="151"/>
      </w:trPr>
      <w:tc>
        <w:tcPr>
          <w:tcW w:w="2250" w:type="pct"/>
          <w:tcBorders>
            <w:bottom w:val="single" w:sz="4" w:space="0" w:color="4F81BD" w:themeColor="accent1"/>
          </w:tcBorders>
        </w:tcPr>
        <w:p w:rsidR="002C1BA5" w:rsidRDefault="002C1BA5">
          <w:pPr>
            <w:pStyle w:val="En-tte"/>
            <w:rPr>
              <w:rFonts w:asciiTheme="majorHAnsi" w:eastAsiaTheme="majorEastAsia" w:hAnsiTheme="majorHAnsi" w:cstheme="majorBidi"/>
              <w:b/>
              <w:bCs/>
            </w:rPr>
          </w:pPr>
        </w:p>
      </w:tc>
      <w:tc>
        <w:tcPr>
          <w:tcW w:w="500" w:type="pct"/>
          <w:vMerge w:val="restart"/>
          <w:noWrap/>
          <w:vAlign w:val="center"/>
        </w:tcPr>
        <w:p w:rsidR="002C1BA5" w:rsidRDefault="002C1BA5" w:rsidP="00265448">
          <w:pPr>
            <w:pStyle w:val="Sansinterligne"/>
            <w:rPr>
              <w:rFonts w:asciiTheme="majorHAnsi" w:hAnsiTheme="majorHAnsi"/>
            </w:rPr>
          </w:pPr>
          <w:r>
            <w:t xml:space="preserve">      </w:t>
          </w:r>
        </w:p>
      </w:tc>
      <w:tc>
        <w:tcPr>
          <w:tcW w:w="2250" w:type="pct"/>
          <w:tcBorders>
            <w:bottom w:val="single" w:sz="4" w:space="0" w:color="4F81BD" w:themeColor="accent1"/>
          </w:tcBorders>
        </w:tcPr>
        <w:p w:rsidR="002C1BA5" w:rsidRDefault="002C1BA5">
          <w:pPr>
            <w:pStyle w:val="En-tte"/>
            <w:rPr>
              <w:rFonts w:asciiTheme="majorHAnsi" w:eastAsiaTheme="majorEastAsia" w:hAnsiTheme="majorHAnsi" w:cstheme="majorBidi"/>
              <w:b/>
              <w:bCs/>
            </w:rPr>
          </w:pPr>
        </w:p>
      </w:tc>
    </w:tr>
    <w:tr w:rsidR="002C1BA5">
      <w:trPr>
        <w:trHeight w:val="150"/>
      </w:trPr>
      <w:tc>
        <w:tcPr>
          <w:tcW w:w="2250" w:type="pct"/>
          <w:tcBorders>
            <w:top w:val="single" w:sz="4" w:space="0" w:color="4F81BD" w:themeColor="accent1"/>
          </w:tcBorders>
        </w:tcPr>
        <w:p w:rsidR="002C1BA5" w:rsidRDefault="002C1BA5">
          <w:pPr>
            <w:pStyle w:val="En-tte"/>
            <w:rPr>
              <w:rFonts w:asciiTheme="majorHAnsi" w:eastAsiaTheme="majorEastAsia" w:hAnsiTheme="majorHAnsi" w:cstheme="majorBidi"/>
              <w:b/>
              <w:bCs/>
            </w:rPr>
          </w:pPr>
        </w:p>
      </w:tc>
      <w:tc>
        <w:tcPr>
          <w:tcW w:w="500" w:type="pct"/>
          <w:vMerge/>
        </w:tcPr>
        <w:p w:rsidR="002C1BA5" w:rsidRDefault="002C1BA5">
          <w:pPr>
            <w:pStyle w:val="En-tte"/>
            <w:jc w:val="center"/>
            <w:rPr>
              <w:rFonts w:asciiTheme="majorHAnsi" w:eastAsiaTheme="majorEastAsia" w:hAnsiTheme="majorHAnsi" w:cstheme="majorBidi"/>
              <w:b/>
              <w:bCs/>
            </w:rPr>
          </w:pPr>
        </w:p>
      </w:tc>
      <w:tc>
        <w:tcPr>
          <w:tcW w:w="2250" w:type="pct"/>
          <w:tcBorders>
            <w:top w:val="single" w:sz="4" w:space="0" w:color="4F81BD" w:themeColor="accent1"/>
          </w:tcBorders>
        </w:tcPr>
        <w:p w:rsidR="002C1BA5" w:rsidRDefault="002C1BA5">
          <w:pPr>
            <w:pStyle w:val="En-tte"/>
            <w:rPr>
              <w:rFonts w:asciiTheme="majorHAnsi" w:eastAsiaTheme="majorEastAsia" w:hAnsiTheme="majorHAnsi" w:cstheme="majorBidi"/>
              <w:b/>
              <w:bCs/>
            </w:rPr>
          </w:pPr>
        </w:p>
      </w:tc>
    </w:tr>
  </w:tbl>
  <w:p w:rsidR="002C1BA5" w:rsidRDefault="002C1BA5" w:rsidP="00AE3CC4">
    <w:pPr>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78A7" w:rsidRDefault="004278A7">
      <w:pPr>
        <w:spacing w:after="0" w:line="240" w:lineRule="auto"/>
      </w:pPr>
      <w:r>
        <w:separator/>
      </w:r>
    </w:p>
  </w:footnote>
  <w:footnote w:type="continuationSeparator" w:id="0">
    <w:p w:rsidR="004278A7" w:rsidRDefault="004278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BA5" w:rsidRDefault="002C1BA5" w:rsidP="001F207F">
    <w:pPr>
      <w:pStyle w:val="En-tte"/>
      <w:pBdr>
        <w:between w:val="single" w:sz="4" w:space="1" w:color="4F81BD"/>
      </w:pBdr>
      <w:spacing w:line="276" w:lineRule="auto"/>
      <w:jc w:val="right"/>
      <w:rPr>
        <w:rFonts w:asciiTheme="majorBidi" w:hAnsiTheme="majorBidi" w:cstheme="majorBidi"/>
        <w:b/>
        <w:bCs/>
        <w:i/>
        <w:iCs/>
        <w:sz w:val="24"/>
        <w:szCs w:val="24"/>
      </w:rPr>
    </w:pPr>
    <w:r>
      <w:rPr>
        <w:rFonts w:asciiTheme="majorBidi" w:hAnsiTheme="majorBidi" w:cstheme="majorBidi"/>
        <w:b/>
        <w:bCs/>
        <w:i/>
        <w:iCs/>
        <w:sz w:val="24"/>
        <w:szCs w:val="24"/>
      </w:rPr>
      <w:t xml:space="preserve">                                                                                                                      Résumés</w:t>
    </w:r>
  </w:p>
  <w:p w:rsidR="002C1BA5" w:rsidRDefault="002C1BA5" w:rsidP="008759FD">
    <w:pPr>
      <w:pStyle w:val="En-tte"/>
      <w:pBdr>
        <w:between w:val="single" w:sz="4" w:space="1" w:color="4F81BD"/>
      </w:pBdr>
      <w:spacing w:line="276" w:lineRule="auto"/>
      <w:jc w:val="center"/>
    </w:pPr>
  </w:p>
  <w:p w:rsidR="002C1BA5" w:rsidRDefault="002C1BA5" w:rsidP="00664696">
    <w:pPr>
      <w:pStyle w:val="En-tte"/>
      <w:tabs>
        <w:tab w:val="left" w:pos="7583"/>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72D9"/>
    <w:rsid w:val="002C1BA5"/>
    <w:rsid w:val="004278A7"/>
    <w:rsid w:val="005F7B4D"/>
    <w:rsid w:val="00712D81"/>
    <w:rsid w:val="00AF66B1"/>
    <w:rsid w:val="00D85818"/>
    <w:rsid w:val="00DB5667"/>
    <w:rsid w:val="00DB72D9"/>
    <w:rsid w:val="00F9082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0E8089-5BB2-4C10-B7EB-FDCC5650F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72D9"/>
    <w:pPr>
      <w:widowControl w:val="0"/>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2C1BA5"/>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C1BA5"/>
    <w:rPr>
      <w:lang w:val="en-US"/>
    </w:rPr>
  </w:style>
  <w:style w:type="paragraph" w:styleId="Sansinterligne">
    <w:name w:val="No Spacing"/>
    <w:uiPriority w:val="1"/>
    <w:qFormat/>
    <w:rsid w:val="002C1BA5"/>
    <w:pPr>
      <w:widowControl w:val="0"/>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1280</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zahra.neffah</dc:creator>
  <cp:lastModifiedBy>naima</cp:lastModifiedBy>
  <cp:revision>3</cp:revision>
  <dcterms:created xsi:type="dcterms:W3CDTF">2019-01-17T12:34:00Z</dcterms:created>
  <dcterms:modified xsi:type="dcterms:W3CDTF">2019-01-17T12:34:00Z</dcterms:modified>
</cp:coreProperties>
</file>