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A24" w:rsidRDefault="001A5A24" w:rsidP="001A5A24">
      <w:pPr>
        <w:rPr>
          <w:rFonts w:asciiTheme="majorBidi" w:hAnsiTheme="majorBidi" w:cstheme="majorBidi"/>
          <w:b/>
          <w:bCs/>
          <w:sz w:val="32"/>
          <w:szCs w:val="32"/>
        </w:rPr>
      </w:pPr>
    </w:p>
    <w:p w:rsidR="001A5A24" w:rsidRDefault="001A5A24" w:rsidP="001A5A24">
      <w:pPr>
        <w:rPr>
          <w:rFonts w:asciiTheme="majorBidi" w:hAnsiTheme="majorBidi" w:cstheme="majorBidi"/>
          <w:b/>
          <w:bCs/>
          <w:sz w:val="32"/>
          <w:szCs w:val="32"/>
        </w:rPr>
      </w:pPr>
    </w:p>
    <w:p w:rsidR="001A5A24" w:rsidRPr="001A5A24" w:rsidRDefault="002F06F2" w:rsidP="001A5A24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proofErr w:type="gramStart"/>
      <w:r w:rsidRPr="001A5A24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1A5A24" w:rsidRPr="001A5A24">
        <w:rPr>
          <w:rFonts w:asciiTheme="majorBidi" w:hAnsiTheme="majorBidi" w:cstheme="majorBidi"/>
          <w:b/>
          <w:bCs/>
          <w:sz w:val="32"/>
          <w:szCs w:val="32"/>
          <w:u w:val="single"/>
        </w:rPr>
        <w:t>:</w:t>
      </w:r>
      <w:proofErr w:type="gramEnd"/>
    </w:p>
    <w:p w:rsidR="00FD5A80" w:rsidRPr="001A5A24" w:rsidRDefault="00867906" w:rsidP="001A5A24">
      <w:pPr>
        <w:rPr>
          <w:rFonts w:asciiTheme="majorBidi" w:hAnsiTheme="majorBidi" w:cstheme="majorBidi"/>
          <w:sz w:val="24"/>
          <w:szCs w:val="24"/>
        </w:rPr>
      </w:pPr>
      <w:r w:rsidRPr="001A5A24">
        <w:rPr>
          <w:rFonts w:asciiTheme="majorBidi" w:hAnsiTheme="majorBidi" w:cstheme="majorBidi"/>
          <w:sz w:val="24"/>
          <w:szCs w:val="24"/>
        </w:rPr>
        <w:t xml:space="preserve">Ce travail de thèse comporte une étude expérimentale de l’effet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NBTI</w:t>
      </w:r>
      <w:r w:rsidRPr="001A5A24">
        <w:rPr>
          <w:rFonts w:asciiTheme="majorBidi" w:hAnsiTheme="majorBidi" w:cstheme="majorBidi"/>
          <w:sz w:val="24"/>
          <w:szCs w:val="24"/>
        </w:rPr>
        <w:t xml:space="preserve"> dans les dispositifs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MOS</w:t>
      </w:r>
      <w:r w:rsidRPr="001A5A24">
        <w:rPr>
          <w:rFonts w:asciiTheme="majorBidi" w:hAnsiTheme="majorBidi" w:cstheme="majorBidi"/>
          <w:sz w:val="24"/>
          <w:szCs w:val="24"/>
        </w:rPr>
        <w:t xml:space="preserve">. La technique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TPCV</w:t>
      </w:r>
      <w:r w:rsidRPr="001A5A24">
        <w:rPr>
          <w:rFonts w:asciiTheme="majorBidi" w:hAnsiTheme="majorBidi" w:cstheme="majorBidi"/>
          <w:sz w:val="24"/>
          <w:szCs w:val="24"/>
        </w:rPr>
        <w:t xml:space="preserve"> proposée nous a permis d’extraire et de suivre l’évolution de Δ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V</w:t>
      </w:r>
      <w:r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FB</w:t>
      </w:r>
      <w:r w:rsidRPr="001A5A24">
        <w:rPr>
          <w:rFonts w:asciiTheme="majorBidi" w:hAnsiTheme="majorBidi" w:cstheme="majorBidi"/>
          <w:sz w:val="24"/>
          <w:szCs w:val="24"/>
        </w:rPr>
        <w:t xml:space="preserve"> et d’étendre, en conséquence, le champ d’investigation du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NBTI</w:t>
      </w:r>
      <w:r w:rsidRPr="001A5A24">
        <w:rPr>
          <w:rFonts w:asciiTheme="majorBidi" w:hAnsiTheme="majorBidi" w:cstheme="majorBidi"/>
          <w:sz w:val="24"/>
          <w:szCs w:val="24"/>
        </w:rPr>
        <w:t xml:space="preserve"> par l’exploitation des capacités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>MOS</w:t>
      </w:r>
      <w:r w:rsidRPr="001A5A24">
        <w:rPr>
          <w:rFonts w:asciiTheme="majorBidi" w:hAnsiTheme="majorBidi" w:cstheme="majorBidi"/>
          <w:sz w:val="24"/>
          <w:szCs w:val="24"/>
        </w:rPr>
        <w:t xml:space="preserve">. </w:t>
      </w:r>
      <w:r w:rsidR="000F3E29" w:rsidRPr="001A5A24">
        <w:rPr>
          <w:rFonts w:asciiTheme="majorBidi" w:hAnsiTheme="majorBidi" w:cstheme="majorBidi"/>
          <w:sz w:val="24"/>
          <w:szCs w:val="24"/>
        </w:rPr>
        <w:t>L</w:t>
      </w:r>
      <w:r w:rsidRPr="001A5A24">
        <w:rPr>
          <w:rFonts w:asciiTheme="majorBidi" w:hAnsiTheme="majorBidi" w:cstheme="majorBidi"/>
          <w:sz w:val="24"/>
          <w:szCs w:val="24"/>
        </w:rPr>
        <w:t xml:space="preserve">’étude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 xml:space="preserve">NBTI </w:t>
      </w:r>
      <w:r w:rsidRPr="001A5A24">
        <w:rPr>
          <w:rFonts w:asciiTheme="majorBidi" w:hAnsiTheme="majorBidi" w:cstheme="majorBidi"/>
          <w:sz w:val="24"/>
          <w:szCs w:val="24"/>
        </w:rPr>
        <w:t xml:space="preserve">menée sur les capacités </w:t>
      </w:r>
      <w:proofErr w:type="spellStart"/>
      <w:r w:rsidRPr="001A5A24">
        <w:rPr>
          <w:rFonts w:asciiTheme="majorBidi" w:hAnsiTheme="majorBidi" w:cstheme="majorBidi"/>
          <w:i/>
          <w:iCs/>
          <w:sz w:val="24"/>
          <w:szCs w:val="24"/>
        </w:rPr>
        <w:t>pMOS</w:t>
      </w:r>
      <w:proofErr w:type="spellEnd"/>
      <w:r w:rsidRPr="001A5A24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1A5A24">
        <w:rPr>
          <w:rFonts w:asciiTheme="majorBidi" w:hAnsiTheme="majorBidi" w:cstheme="majorBidi"/>
          <w:sz w:val="24"/>
          <w:szCs w:val="24"/>
        </w:rPr>
        <w:t xml:space="preserve">a mis en évidence, la présence d’une zone de transition séparant le mécanisme responsable du phénomène </w:t>
      </w:r>
      <w:r w:rsidRPr="001A5A24">
        <w:rPr>
          <w:rFonts w:asciiTheme="majorBidi" w:hAnsiTheme="majorBidi" w:cstheme="majorBidi"/>
          <w:i/>
          <w:iCs/>
          <w:sz w:val="24"/>
          <w:szCs w:val="24"/>
        </w:rPr>
        <w:t xml:space="preserve">NBTI </w:t>
      </w:r>
      <w:r w:rsidRPr="001A5A24">
        <w:rPr>
          <w:rFonts w:asciiTheme="majorBidi" w:hAnsiTheme="majorBidi" w:cstheme="majorBidi"/>
          <w:sz w:val="24"/>
          <w:szCs w:val="24"/>
        </w:rPr>
        <w:t>de celui du claquage de l’</w:t>
      </w:r>
      <w:r w:rsidR="000F3E29" w:rsidRPr="001A5A24">
        <w:rPr>
          <w:rFonts w:asciiTheme="majorBidi" w:hAnsiTheme="majorBidi" w:cstheme="majorBidi"/>
          <w:sz w:val="24"/>
          <w:szCs w:val="24"/>
        </w:rPr>
        <w:t>oxyde</w:t>
      </w:r>
      <w:r w:rsidRPr="001A5A24">
        <w:rPr>
          <w:rFonts w:asciiTheme="majorBidi" w:hAnsiTheme="majorBidi" w:cstheme="majorBidi"/>
          <w:sz w:val="24"/>
          <w:szCs w:val="24"/>
        </w:rPr>
        <w:t xml:space="preserve">. </w:t>
      </w:r>
      <w:r w:rsidR="000F3E29" w:rsidRPr="001A5A24">
        <w:rPr>
          <w:rFonts w:asciiTheme="majorBidi" w:hAnsiTheme="majorBidi" w:cstheme="majorBidi"/>
          <w:sz w:val="24"/>
          <w:szCs w:val="24"/>
        </w:rPr>
        <w:t>L</w:t>
      </w:r>
      <w:r w:rsidRPr="001A5A24">
        <w:rPr>
          <w:rFonts w:asciiTheme="majorBidi" w:hAnsiTheme="majorBidi" w:cstheme="majorBidi"/>
          <w:sz w:val="24"/>
          <w:szCs w:val="24"/>
        </w:rPr>
        <w:t xml:space="preserve">e phénomène de rebroussement observé dans </w:t>
      </w:r>
      <w:r w:rsidR="000F3E29" w:rsidRPr="001A5A24">
        <w:rPr>
          <w:rFonts w:asciiTheme="majorBidi" w:hAnsiTheme="majorBidi" w:cstheme="majorBidi"/>
          <w:sz w:val="24"/>
          <w:szCs w:val="24"/>
        </w:rPr>
        <w:t>le</w:t>
      </w:r>
      <w:r w:rsidRPr="001A5A24">
        <w:rPr>
          <w:rFonts w:asciiTheme="majorBidi" w:hAnsiTheme="majorBidi" w:cstheme="majorBidi"/>
          <w:sz w:val="24"/>
          <w:szCs w:val="24"/>
        </w:rPr>
        <w:t xml:space="preserve">s </w:t>
      </w:r>
      <w:proofErr w:type="spellStart"/>
      <w:r w:rsidRPr="001A5A24">
        <w:rPr>
          <w:rFonts w:asciiTheme="majorBidi" w:hAnsiTheme="majorBidi" w:cstheme="majorBidi"/>
          <w:i/>
          <w:iCs/>
          <w:sz w:val="24"/>
          <w:szCs w:val="24"/>
        </w:rPr>
        <w:t>NMOSFETs</w:t>
      </w:r>
      <w:proofErr w:type="spellEnd"/>
      <w:r w:rsidRPr="001A5A24">
        <w:rPr>
          <w:rFonts w:asciiTheme="majorBidi" w:hAnsiTheme="majorBidi" w:cstheme="majorBidi"/>
          <w:sz w:val="24"/>
          <w:szCs w:val="24"/>
        </w:rPr>
        <w:t xml:space="preserve"> nous a permis de séparer la contribution des </w:t>
      </w:r>
      <w:r w:rsidR="000F3E29" w:rsidRPr="001A5A24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0F3E29"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it</w:t>
      </w:r>
      <w:r w:rsidR="000F3E29" w:rsidRPr="001A5A24">
        <w:rPr>
          <w:rFonts w:asciiTheme="majorBidi" w:hAnsiTheme="majorBidi" w:cstheme="majorBidi"/>
          <w:sz w:val="24"/>
          <w:szCs w:val="24"/>
        </w:rPr>
        <w:t xml:space="preserve"> </w:t>
      </w:r>
      <w:r w:rsidRPr="001A5A24">
        <w:rPr>
          <w:rFonts w:asciiTheme="majorBidi" w:hAnsiTheme="majorBidi" w:cstheme="majorBidi"/>
          <w:sz w:val="24"/>
          <w:szCs w:val="24"/>
        </w:rPr>
        <w:t>d</w:t>
      </w:r>
      <w:r w:rsidR="000F3E29" w:rsidRPr="001A5A24">
        <w:rPr>
          <w:rFonts w:asciiTheme="majorBidi" w:hAnsiTheme="majorBidi" w:cstheme="majorBidi"/>
          <w:sz w:val="24"/>
          <w:szCs w:val="24"/>
        </w:rPr>
        <w:t xml:space="preserve">es </w:t>
      </w:r>
      <w:r w:rsidR="000F3E29" w:rsidRPr="001A5A24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0F3E29"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bt</w:t>
      </w:r>
      <w:r w:rsidRPr="001A5A24">
        <w:rPr>
          <w:rFonts w:asciiTheme="majorBidi" w:hAnsiTheme="majorBidi" w:cstheme="majorBidi"/>
          <w:sz w:val="24"/>
          <w:szCs w:val="24"/>
        </w:rPr>
        <w:t>. De plus, L’étude cyclique (contrainte/relaxation) a indiqué que la dégradation semble progresser de l’interface (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</w:rPr>
        <w:t>Si</w:t>
      </w:r>
      <w:r w:rsidR="00FD5A80" w:rsidRPr="001A5A24">
        <w:rPr>
          <w:rFonts w:asciiTheme="majorBidi" w:hAnsiTheme="majorBidi" w:cstheme="majorBidi"/>
          <w:sz w:val="24"/>
          <w:szCs w:val="24"/>
        </w:rPr>
        <w:t>/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</w:rPr>
        <w:t>SiO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2</w:t>
      </w:r>
      <w:r w:rsidRPr="001A5A24">
        <w:rPr>
          <w:rFonts w:asciiTheme="majorBidi" w:hAnsiTheme="majorBidi" w:cstheme="majorBidi"/>
          <w:sz w:val="24"/>
          <w:szCs w:val="24"/>
        </w:rPr>
        <w:t>) vers la zone près de l’interface (</w:t>
      </w:r>
      <w:proofErr w:type="spellStart"/>
      <w:r w:rsidRPr="001A5A24">
        <w:rPr>
          <w:rFonts w:asciiTheme="majorBidi" w:hAnsiTheme="majorBidi" w:cstheme="majorBidi"/>
          <w:i/>
          <w:iCs/>
          <w:sz w:val="24"/>
          <w:szCs w:val="24"/>
        </w:rPr>
        <w:t>SiO</w:t>
      </w:r>
      <w:r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x</w:t>
      </w:r>
      <w:proofErr w:type="spellEnd"/>
      <w:r w:rsidRPr="001A5A24">
        <w:rPr>
          <w:rFonts w:asciiTheme="majorBidi" w:hAnsiTheme="majorBidi" w:cstheme="majorBidi"/>
          <w:sz w:val="24"/>
          <w:szCs w:val="24"/>
        </w:rPr>
        <w:t>).</w:t>
      </w:r>
      <w:r w:rsidR="00FD5A80" w:rsidRPr="001A5A24">
        <w:rPr>
          <w:rFonts w:asciiTheme="majorBidi" w:hAnsiTheme="majorBidi" w:cstheme="majorBidi"/>
          <w:sz w:val="24"/>
          <w:szCs w:val="24"/>
        </w:rPr>
        <w:t xml:space="preserve"> Enfin, L’effet de 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</w:rPr>
        <w:t>L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G</w:t>
      </w:r>
      <w:r w:rsidR="00FD5A80" w:rsidRPr="001A5A24">
        <w:rPr>
          <w:rFonts w:asciiTheme="majorBidi" w:hAnsiTheme="majorBidi" w:cstheme="majorBidi"/>
          <w:sz w:val="24"/>
          <w:szCs w:val="24"/>
        </w:rPr>
        <w:t xml:space="preserve"> sur la dégradation </w:t>
      </w:r>
      <w:r w:rsidR="00FD5A80" w:rsidRPr="001A5A24">
        <w:rPr>
          <w:rFonts w:asciiTheme="majorBidi" w:hAnsiTheme="majorBidi" w:cstheme="majorBidi"/>
          <w:i/>
          <w:iCs/>
          <w:sz w:val="24"/>
          <w:szCs w:val="24"/>
        </w:rPr>
        <w:t>NBTI</w:t>
      </w:r>
      <w:r w:rsidR="00FD5A80" w:rsidRPr="001A5A24">
        <w:rPr>
          <w:rFonts w:asciiTheme="majorBidi" w:hAnsiTheme="majorBidi" w:cstheme="majorBidi"/>
          <w:sz w:val="24"/>
          <w:szCs w:val="24"/>
        </w:rPr>
        <w:t xml:space="preserve"> a mis en évidence q</w:t>
      </w:r>
      <w:bookmarkStart w:id="0" w:name="_GoBack"/>
      <w:bookmarkEnd w:id="0"/>
      <w:r w:rsidR="00FD5A80" w:rsidRPr="001A5A24">
        <w:rPr>
          <w:rFonts w:asciiTheme="majorBidi" w:hAnsiTheme="majorBidi" w:cstheme="majorBidi"/>
          <w:sz w:val="24"/>
          <w:szCs w:val="24"/>
        </w:rPr>
        <w:t xml:space="preserve">ue la dégradation n’est uniformément distribuée le long du canal. </w:t>
      </w:r>
    </w:p>
    <w:sectPr w:rsidR="00FD5A80" w:rsidRPr="001A5A24" w:rsidSect="00575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67906"/>
    <w:rsid w:val="00015871"/>
    <w:rsid w:val="000243D1"/>
    <w:rsid w:val="00057C71"/>
    <w:rsid w:val="000941E7"/>
    <w:rsid w:val="000E011C"/>
    <w:rsid w:val="000F3E29"/>
    <w:rsid w:val="00115C30"/>
    <w:rsid w:val="00127EEC"/>
    <w:rsid w:val="00131D43"/>
    <w:rsid w:val="001A5A24"/>
    <w:rsid w:val="001A5D7B"/>
    <w:rsid w:val="001B0663"/>
    <w:rsid w:val="001B5A6D"/>
    <w:rsid w:val="001E69A0"/>
    <w:rsid w:val="001F0426"/>
    <w:rsid w:val="00201EDF"/>
    <w:rsid w:val="00211BBB"/>
    <w:rsid w:val="0023523E"/>
    <w:rsid w:val="002912DE"/>
    <w:rsid w:val="002B08EE"/>
    <w:rsid w:val="002F06F2"/>
    <w:rsid w:val="00372217"/>
    <w:rsid w:val="003B0E94"/>
    <w:rsid w:val="003C6860"/>
    <w:rsid w:val="00423527"/>
    <w:rsid w:val="00425597"/>
    <w:rsid w:val="004529FB"/>
    <w:rsid w:val="004619D3"/>
    <w:rsid w:val="00491764"/>
    <w:rsid w:val="004B0D6A"/>
    <w:rsid w:val="004E49E5"/>
    <w:rsid w:val="00536798"/>
    <w:rsid w:val="00565177"/>
    <w:rsid w:val="00575011"/>
    <w:rsid w:val="00580F95"/>
    <w:rsid w:val="005E6F10"/>
    <w:rsid w:val="006406C3"/>
    <w:rsid w:val="00653A6E"/>
    <w:rsid w:val="006C28FB"/>
    <w:rsid w:val="006F2862"/>
    <w:rsid w:val="0073239D"/>
    <w:rsid w:val="0074316B"/>
    <w:rsid w:val="00743AA5"/>
    <w:rsid w:val="007500B0"/>
    <w:rsid w:val="0076696B"/>
    <w:rsid w:val="00786315"/>
    <w:rsid w:val="007A21DA"/>
    <w:rsid w:val="007B15D0"/>
    <w:rsid w:val="007B6696"/>
    <w:rsid w:val="007E27E4"/>
    <w:rsid w:val="007F5CF8"/>
    <w:rsid w:val="007F6AC4"/>
    <w:rsid w:val="0084441C"/>
    <w:rsid w:val="0086547E"/>
    <w:rsid w:val="00867906"/>
    <w:rsid w:val="0087490E"/>
    <w:rsid w:val="008C1F82"/>
    <w:rsid w:val="008C6210"/>
    <w:rsid w:val="00923FA3"/>
    <w:rsid w:val="009305BD"/>
    <w:rsid w:val="009A7BDC"/>
    <w:rsid w:val="00A548F1"/>
    <w:rsid w:val="00B016EC"/>
    <w:rsid w:val="00B50412"/>
    <w:rsid w:val="00B61275"/>
    <w:rsid w:val="00B64051"/>
    <w:rsid w:val="00BE0488"/>
    <w:rsid w:val="00BE2330"/>
    <w:rsid w:val="00C06311"/>
    <w:rsid w:val="00C145FE"/>
    <w:rsid w:val="00C15041"/>
    <w:rsid w:val="00C24736"/>
    <w:rsid w:val="00C41781"/>
    <w:rsid w:val="00C5041D"/>
    <w:rsid w:val="00C85BCD"/>
    <w:rsid w:val="00C9365C"/>
    <w:rsid w:val="00CC5730"/>
    <w:rsid w:val="00CD464F"/>
    <w:rsid w:val="00D050FD"/>
    <w:rsid w:val="00D159D9"/>
    <w:rsid w:val="00D41A6E"/>
    <w:rsid w:val="00D76884"/>
    <w:rsid w:val="00D856A5"/>
    <w:rsid w:val="00DB179B"/>
    <w:rsid w:val="00DB7045"/>
    <w:rsid w:val="00DE64B4"/>
    <w:rsid w:val="00E85906"/>
    <w:rsid w:val="00EC68A7"/>
    <w:rsid w:val="00ED2DFE"/>
    <w:rsid w:val="00ED5EEF"/>
    <w:rsid w:val="00ED72F0"/>
    <w:rsid w:val="00F11CD2"/>
    <w:rsid w:val="00F1603C"/>
    <w:rsid w:val="00F57DF2"/>
    <w:rsid w:val="00F77978"/>
    <w:rsid w:val="00F901D7"/>
    <w:rsid w:val="00FB548B"/>
    <w:rsid w:val="00FD5A80"/>
    <w:rsid w:val="00FE7722"/>
    <w:rsid w:val="00FF6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4AC50E-7102-4561-8218-083D99EA0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48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50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6790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01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135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Madjid</dc:creator>
  <cp:lastModifiedBy>naima</cp:lastModifiedBy>
  <cp:revision>4</cp:revision>
  <dcterms:created xsi:type="dcterms:W3CDTF">2010-01-02T08:08:00Z</dcterms:created>
  <dcterms:modified xsi:type="dcterms:W3CDTF">2018-02-12T12:56:00Z</dcterms:modified>
</cp:coreProperties>
</file>