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DA2" w:rsidRDefault="00F93DA2" w:rsidP="00F27043">
      <w:pPr>
        <w:spacing w:line="360" w:lineRule="auto"/>
        <w:jc w:val="both"/>
        <w:rPr>
          <w:rFonts w:asciiTheme="majorBidi" w:hAnsiTheme="majorBidi" w:cstheme="majorBidi"/>
        </w:rPr>
      </w:pPr>
    </w:p>
    <w:p w:rsidR="00F93DA2" w:rsidRPr="00F93DA2" w:rsidRDefault="00F93DA2" w:rsidP="00F93DA2">
      <w:pPr>
        <w:spacing w:line="360" w:lineRule="auto"/>
        <w:jc w:val="center"/>
        <w:rPr>
          <w:rFonts w:asciiTheme="majorBidi" w:hAnsiTheme="majorBidi" w:cstheme="majorBidi"/>
          <w:sz w:val="40"/>
          <w:szCs w:val="40"/>
        </w:rPr>
      </w:pPr>
      <w:r w:rsidRPr="00F93DA2">
        <w:rPr>
          <w:rFonts w:asciiTheme="majorBidi" w:hAnsiTheme="majorBidi" w:cstheme="majorBidi"/>
          <w:sz w:val="40"/>
          <w:szCs w:val="40"/>
        </w:rPr>
        <w:t>Résumé</w:t>
      </w:r>
    </w:p>
    <w:p w:rsidR="00F93DA2" w:rsidRDefault="00F93DA2" w:rsidP="00F27043">
      <w:pPr>
        <w:spacing w:line="360" w:lineRule="auto"/>
        <w:jc w:val="both"/>
        <w:rPr>
          <w:rFonts w:asciiTheme="majorBidi" w:hAnsiTheme="majorBidi" w:cstheme="majorBidi"/>
        </w:rPr>
      </w:pPr>
    </w:p>
    <w:p w:rsidR="00D164BD" w:rsidRDefault="00F27043" w:rsidP="00F27043">
      <w:pPr>
        <w:spacing w:line="360" w:lineRule="auto"/>
        <w:jc w:val="both"/>
        <w:rPr>
          <w:rFonts w:asciiTheme="majorBidi" w:hAnsiTheme="majorBidi" w:cstheme="majorBidi"/>
        </w:rPr>
      </w:pPr>
      <w:r w:rsidRPr="00F27043">
        <w:rPr>
          <w:rFonts w:asciiTheme="majorBidi" w:hAnsiTheme="majorBidi" w:cstheme="majorBidi"/>
        </w:rPr>
        <w:t xml:space="preserve">L’objectif principal de ce travail a été d’étudier l’effet des composés phénoliques, la curcumine, l’acide caféique et l’acide </w:t>
      </w:r>
      <w:proofErr w:type="spellStart"/>
      <w:r w:rsidRPr="00F27043">
        <w:rPr>
          <w:rFonts w:asciiTheme="majorBidi" w:hAnsiTheme="majorBidi" w:cstheme="majorBidi"/>
        </w:rPr>
        <w:t>trans</w:t>
      </w:r>
      <w:proofErr w:type="spellEnd"/>
      <w:r w:rsidRPr="00F27043">
        <w:rPr>
          <w:rFonts w:asciiTheme="majorBidi" w:hAnsiTheme="majorBidi" w:cstheme="majorBidi"/>
        </w:rPr>
        <w:t xml:space="preserve">-cinnamique sur le stress oxydatif induit dans une colite aiguë à l’acide acétique chez les souris </w:t>
      </w:r>
      <w:proofErr w:type="spellStart"/>
      <w:r w:rsidRPr="00F27043">
        <w:rPr>
          <w:rFonts w:asciiTheme="majorBidi" w:hAnsiTheme="majorBidi" w:cstheme="majorBidi"/>
          <w:i/>
          <w:iCs/>
        </w:rPr>
        <w:t>Swiss</w:t>
      </w:r>
      <w:proofErr w:type="spellEnd"/>
      <w:r w:rsidRPr="00F27043">
        <w:rPr>
          <w:rFonts w:asciiTheme="majorBidi" w:hAnsiTheme="majorBidi" w:cstheme="majorBidi"/>
        </w:rPr>
        <w:t>.</w:t>
      </w:r>
    </w:p>
    <w:p w:rsidR="00F27043" w:rsidRPr="00F27043" w:rsidRDefault="00F27043" w:rsidP="00F27043">
      <w:pPr>
        <w:spacing w:line="360" w:lineRule="auto"/>
        <w:jc w:val="both"/>
        <w:rPr>
          <w:rStyle w:val="hps"/>
          <w:rFonts w:asciiTheme="majorBidi" w:hAnsiTheme="majorBidi" w:cstheme="majorBidi"/>
          <w:color w:val="333333"/>
        </w:rPr>
      </w:pPr>
      <w:r w:rsidRPr="00F27043">
        <w:rPr>
          <w:rStyle w:val="apple-converted-space"/>
          <w:rFonts w:asciiTheme="majorBidi" w:hAnsiTheme="majorBidi" w:cstheme="majorBidi"/>
          <w:color w:val="333333"/>
        </w:rPr>
        <w:t>L’acide acétique (5%)</w:t>
      </w:r>
      <w:r w:rsidRPr="00F27043">
        <w:rPr>
          <w:rStyle w:val="hps"/>
          <w:rFonts w:asciiTheme="majorBidi" w:hAnsiTheme="majorBidi" w:cstheme="majorBidi"/>
          <w:color w:val="333333"/>
        </w:rPr>
        <w:t xml:space="preserve"> </w:t>
      </w:r>
      <w:r w:rsidRPr="00F27043">
        <w:rPr>
          <w:rFonts w:asciiTheme="majorBidi" w:hAnsiTheme="majorBidi" w:cstheme="majorBidi"/>
        </w:rPr>
        <w:t xml:space="preserve">induit des dommages </w:t>
      </w:r>
      <w:r w:rsidRPr="00F27043">
        <w:rPr>
          <w:rStyle w:val="hps"/>
          <w:rFonts w:asciiTheme="majorBidi" w:hAnsiTheme="majorBidi" w:cstheme="majorBidi"/>
          <w:color w:val="333333"/>
        </w:rPr>
        <w:t>macroscopiques, histologiques et biochimiques</w:t>
      </w:r>
      <w:r>
        <w:rPr>
          <w:rStyle w:val="hps"/>
          <w:rFonts w:asciiTheme="majorBidi" w:hAnsiTheme="majorBidi" w:cstheme="majorBidi"/>
          <w:color w:val="333333"/>
        </w:rPr>
        <w:t xml:space="preserve"> </w:t>
      </w:r>
      <w:r w:rsidRPr="00F27043">
        <w:rPr>
          <w:rStyle w:val="hps"/>
          <w:rFonts w:asciiTheme="majorBidi" w:hAnsiTheme="majorBidi" w:cstheme="majorBidi"/>
          <w:color w:val="333333"/>
        </w:rPr>
        <w:t xml:space="preserve">caractérisées par une infiltration des </w:t>
      </w:r>
      <w:proofErr w:type="spellStart"/>
      <w:r w:rsidRPr="00F27043">
        <w:rPr>
          <w:rStyle w:val="hps"/>
          <w:rFonts w:asciiTheme="majorBidi" w:hAnsiTheme="majorBidi" w:cstheme="majorBidi"/>
          <w:color w:val="333333"/>
        </w:rPr>
        <w:t>PNs</w:t>
      </w:r>
      <w:proofErr w:type="spellEnd"/>
      <w:r w:rsidRPr="00F27043">
        <w:rPr>
          <w:rStyle w:val="hps"/>
          <w:rFonts w:asciiTheme="majorBidi" w:hAnsiTheme="majorBidi" w:cstheme="majorBidi"/>
          <w:color w:val="333333"/>
        </w:rPr>
        <w:t xml:space="preserve">, </w:t>
      </w:r>
      <w:r w:rsidRPr="00F27043">
        <w:rPr>
          <w:rStyle w:val="apple-converted-space"/>
          <w:rFonts w:asciiTheme="majorBidi" w:hAnsiTheme="majorBidi" w:cstheme="majorBidi"/>
          <w:color w:val="333333"/>
        </w:rPr>
        <w:t xml:space="preserve">des </w:t>
      </w:r>
      <w:r w:rsidRPr="00F27043">
        <w:rPr>
          <w:rFonts w:asciiTheme="majorBidi" w:hAnsiTheme="majorBidi" w:cstheme="majorBidi"/>
        </w:rPr>
        <w:t>œdèmes et des ulcérations hémorragiques.</w:t>
      </w:r>
      <w:r w:rsidRPr="00F27043">
        <w:rPr>
          <w:rStyle w:val="apple-converted-space"/>
          <w:rFonts w:asciiTheme="majorBidi" w:hAnsiTheme="majorBidi" w:cstheme="majorBidi"/>
          <w:color w:val="333333"/>
        </w:rPr>
        <w:t xml:space="preserve"> </w:t>
      </w:r>
      <w:r w:rsidRPr="00F27043">
        <w:rPr>
          <w:rFonts w:asciiTheme="majorBidi" w:hAnsiTheme="majorBidi" w:cstheme="majorBidi"/>
        </w:rPr>
        <w:t xml:space="preserve">Une élévation significative des marqueurs du stress oxydant </w:t>
      </w:r>
      <w:r w:rsidRPr="00F27043">
        <w:rPr>
          <w:rStyle w:val="hps"/>
          <w:rFonts w:asciiTheme="majorBidi" w:hAnsiTheme="majorBidi" w:cstheme="majorBidi"/>
          <w:color w:val="333333"/>
        </w:rPr>
        <w:t xml:space="preserve">(MDA et MPO) </w:t>
      </w:r>
      <w:r w:rsidRPr="00F27043">
        <w:rPr>
          <w:rFonts w:asciiTheme="majorBidi" w:hAnsiTheme="majorBidi" w:cstheme="majorBidi"/>
        </w:rPr>
        <w:t xml:space="preserve"> et une diminution des marqueurs du système de défense (CAT et GSH) </w:t>
      </w:r>
      <w:r w:rsidRPr="00F27043">
        <w:rPr>
          <w:rStyle w:val="hps"/>
          <w:rFonts w:asciiTheme="majorBidi" w:hAnsiTheme="majorBidi" w:cstheme="majorBidi"/>
          <w:color w:val="333333"/>
        </w:rPr>
        <w:t>dans les homogénats des côlons distaux.</w:t>
      </w:r>
    </w:p>
    <w:p w:rsidR="00F27043" w:rsidRPr="003D1456" w:rsidRDefault="00F27043" w:rsidP="003D1456">
      <w:pPr>
        <w:pStyle w:val="Paragraphedeliste"/>
        <w:spacing w:after="0" w:line="360" w:lineRule="auto"/>
        <w:ind w:left="0"/>
        <w:jc w:val="both"/>
        <w:rPr>
          <w:rFonts w:asciiTheme="majorBidi" w:hAnsiTheme="majorBidi" w:cstheme="majorBidi"/>
          <w:iCs/>
          <w:lang w:val="fr-FR"/>
        </w:rPr>
      </w:pPr>
      <w:r w:rsidRPr="003D1456">
        <w:rPr>
          <w:rFonts w:asciiTheme="majorBidi" w:hAnsiTheme="majorBidi" w:cstheme="majorBidi"/>
          <w:iCs/>
          <w:lang w:val="fr-FR"/>
        </w:rPr>
        <w:t>La curcumine (60mg/kg) prévient efficacement la colite à l’acide acétique 5%.</w:t>
      </w:r>
      <w:r w:rsidR="003D1456">
        <w:rPr>
          <w:rFonts w:asciiTheme="majorBidi" w:hAnsiTheme="majorBidi" w:cstheme="majorBidi"/>
          <w:iCs/>
          <w:lang w:val="fr-FR"/>
        </w:rPr>
        <w:t xml:space="preserve"> </w:t>
      </w:r>
      <w:proofErr w:type="spellStart"/>
      <w:r w:rsidR="003D1456">
        <w:rPr>
          <w:rFonts w:asciiTheme="majorBidi" w:hAnsiTheme="majorBidi" w:cstheme="majorBidi"/>
        </w:rPr>
        <w:t>L</w:t>
      </w:r>
      <w:r w:rsidR="003D1456" w:rsidRPr="003D1456">
        <w:rPr>
          <w:rFonts w:asciiTheme="majorBidi" w:hAnsiTheme="majorBidi" w:cstheme="majorBidi"/>
        </w:rPr>
        <w:t>’acide</w:t>
      </w:r>
      <w:proofErr w:type="spellEnd"/>
      <w:r w:rsidR="003D1456" w:rsidRPr="003D1456">
        <w:rPr>
          <w:rFonts w:asciiTheme="majorBidi" w:hAnsiTheme="majorBidi" w:cstheme="majorBidi"/>
        </w:rPr>
        <w:t xml:space="preserve"> </w:t>
      </w:r>
      <w:proofErr w:type="spellStart"/>
      <w:r w:rsidR="003D1456" w:rsidRPr="003D1456">
        <w:rPr>
          <w:rFonts w:asciiTheme="majorBidi" w:hAnsiTheme="majorBidi" w:cstheme="majorBidi"/>
          <w:iCs/>
        </w:rPr>
        <w:t>caféique</w:t>
      </w:r>
      <w:proofErr w:type="spellEnd"/>
      <w:r w:rsidR="003D1456" w:rsidRPr="003D1456">
        <w:rPr>
          <w:rStyle w:val="apple-converted-space"/>
          <w:rFonts w:asciiTheme="majorBidi" w:hAnsiTheme="majorBidi" w:cstheme="majorBidi"/>
          <w:color w:val="333333"/>
        </w:rPr>
        <w:t xml:space="preserve"> (</w:t>
      </w:r>
      <w:r w:rsidR="003D1456" w:rsidRPr="003D1456">
        <w:rPr>
          <w:rFonts w:asciiTheme="majorBidi" w:hAnsiTheme="majorBidi" w:cstheme="majorBidi"/>
        </w:rPr>
        <w:t>30mg/kg)</w:t>
      </w:r>
      <w:r w:rsidR="003D1456">
        <w:rPr>
          <w:rFonts w:asciiTheme="majorBidi" w:hAnsiTheme="majorBidi" w:cstheme="majorBidi"/>
        </w:rPr>
        <w:t xml:space="preserve"> </w:t>
      </w:r>
      <w:proofErr w:type="gramStart"/>
      <w:r w:rsidR="003D1456">
        <w:rPr>
          <w:rFonts w:asciiTheme="majorBidi" w:hAnsiTheme="majorBidi" w:cstheme="majorBidi"/>
        </w:rPr>
        <w:t>et</w:t>
      </w:r>
      <w:proofErr w:type="gramEnd"/>
      <w:r w:rsidR="003D1456">
        <w:rPr>
          <w:rFonts w:asciiTheme="majorBidi" w:hAnsiTheme="majorBidi" w:cstheme="majorBidi"/>
        </w:rPr>
        <w:t xml:space="preserve"> </w:t>
      </w:r>
      <w:proofErr w:type="spellStart"/>
      <w:r w:rsidR="003D1456" w:rsidRPr="003D1456">
        <w:rPr>
          <w:rFonts w:asciiTheme="majorBidi" w:hAnsiTheme="majorBidi" w:cstheme="majorBidi"/>
        </w:rPr>
        <w:t>l’acide</w:t>
      </w:r>
      <w:proofErr w:type="spellEnd"/>
      <w:r w:rsidR="003D1456" w:rsidRPr="003D1456">
        <w:rPr>
          <w:rFonts w:asciiTheme="majorBidi" w:hAnsiTheme="majorBidi" w:cstheme="majorBidi"/>
        </w:rPr>
        <w:t xml:space="preserve"> </w:t>
      </w:r>
      <w:proofErr w:type="spellStart"/>
      <w:r w:rsidR="003D1456" w:rsidRPr="003D1456">
        <w:rPr>
          <w:rStyle w:val="longtext"/>
          <w:rFonts w:asciiTheme="majorBidi" w:hAnsiTheme="majorBidi" w:cstheme="majorBidi"/>
          <w:lang w:val="fr-FR"/>
        </w:rPr>
        <w:t>trans</w:t>
      </w:r>
      <w:proofErr w:type="spellEnd"/>
      <w:r w:rsidR="003D1456" w:rsidRPr="003D1456">
        <w:rPr>
          <w:rStyle w:val="longtext"/>
          <w:rFonts w:asciiTheme="majorBidi" w:hAnsiTheme="majorBidi" w:cstheme="majorBidi"/>
          <w:lang w:val="fr-FR"/>
        </w:rPr>
        <w:t>-cinnamique</w:t>
      </w:r>
      <w:r w:rsidR="003D1456">
        <w:rPr>
          <w:rStyle w:val="longtext"/>
          <w:rFonts w:asciiTheme="majorBidi" w:hAnsiTheme="majorBidi" w:cstheme="majorBidi"/>
          <w:lang w:val="fr-FR"/>
        </w:rPr>
        <w:t xml:space="preserve"> </w:t>
      </w:r>
      <w:r w:rsidR="003D1456" w:rsidRPr="003D1456">
        <w:rPr>
          <w:rStyle w:val="apple-converted-space"/>
          <w:rFonts w:asciiTheme="majorBidi" w:hAnsiTheme="majorBidi" w:cstheme="majorBidi"/>
          <w:color w:val="333333"/>
        </w:rPr>
        <w:t>(</w:t>
      </w:r>
      <w:r w:rsidR="003D1456" w:rsidRPr="003D1456">
        <w:rPr>
          <w:rFonts w:asciiTheme="majorBidi" w:hAnsiTheme="majorBidi" w:cstheme="majorBidi"/>
        </w:rPr>
        <w:t>30mg/kg)</w:t>
      </w:r>
      <w:r w:rsidR="003D1456">
        <w:rPr>
          <w:rFonts w:asciiTheme="majorBidi" w:hAnsiTheme="majorBidi" w:cstheme="majorBidi"/>
        </w:rPr>
        <w:t xml:space="preserve"> ont permis de réduire les </w:t>
      </w:r>
      <w:r w:rsidR="00F93DA2">
        <w:rPr>
          <w:rFonts w:asciiTheme="majorBidi" w:hAnsiTheme="majorBidi" w:cstheme="majorBidi"/>
        </w:rPr>
        <w:t>lé</w:t>
      </w:r>
      <w:r w:rsidR="003D1456">
        <w:rPr>
          <w:rFonts w:asciiTheme="majorBidi" w:hAnsiTheme="majorBidi" w:cstheme="majorBidi"/>
        </w:rPr>
        <w:t xml:space="preserve">sions </w:t>
      </w:r>
      <w:r w:rsidR="00F93DA2">
        <w:rPr>
          <w:rFonts w:asciiTheme="majorBidi" w:hAnsiTheme="majorBidi" w:cstheme="majorBidi"/>
        </w:rPr>
        <w:t xml:space="preserve">induites par l’acide </w:t>
      </w:r>
      <w:proofErr w:type="spellStart"/>
      <w:r w:rsidR="00F93DA2">
        <w:rPr>
          <w:rFonts w:asciiTheme="majorBidi" w:hAnsiTheme="majorBidi" w:cstheme="majorBidi"/>
        </w:rPr>
        <w:t>acétique</w:t>
      </w:r>
      <w:proofErr w:type="spellEnd"/>
      <w:r w:rsidR="00F93DA2">
        <w:rPr>
          <w:rFonts w:asciiTheme="majorBidi" w:hAnsiTheme="majorBidi" w:cstheme="majorBidi"/>
        </w:rPr>
        <w:t>.</w:t>
      </w:r>
    </w:p>
    <w:p w:rsidR="00F27043" w:rsidRPr="00F27043" w:rsidRDefault="00F27043" w:rsidP="00F27043">
      <w:pPr>
        <w:spacing w:line="360" w:lineRule="auto"/>
        <w:jc w:val="both"/>
        <w:rPr>
          <w:rFonts w:asciiTheme="majorBidi" w:hAnsiTheme="majorBidi" w:cstheme="majorBidi"/>
        </w:rPr>
      </w:pPr>
    </w:p>
    <w:sectPr w:rsidR="00F27043" w:rsidRPr="00F27043" w:rsidSect="00D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F27043"/>
    <w:rsid w:val="003D1456"/>
    <w:rsid w:val="006A5039"/>
    <w:rsid w:val="00D164BD"/>
    <w:rsid w:val="00F27043"/>
    <w:rsid w:val="00F93D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64B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converted-space">
    <w:name w:val="apple-converted-space"/>
    <w:rsid w:val="00F27043"/>
  </w:style>
  <w:style w:type="paragraph" w:styleId="Paragraphedeliste">
    <w:name w:val="List Paragraph"/>
    <w:basedOn w:val="Normal"/>
    <w:uiPriority w:val="34"/>
    <w:qFormat/>
    <w:rsid w:val="00F27043"/>
    <w:pPr>
      <w:ind w:left="720"/>
    </w:pPr>
    <w:rPr>
      <w:rFonts w:ascii="Calibri" w:eastAsia="Calibri" w:hAnsi="Calibri" w:cs="Arial"/>
      <w:lang w:val="en-US"/>
    </w:rPr>
  </w:style>
  <w:style w:type="character" w:customStyle="1" w:styleId="hps">
    <w:name w:val="hps"/>
    <w:basedOn w:val="Policepardfaut"/>
    <w:rsid w:val="00F27043"/>
  </w:style>
  <w:style w:type="character" w:customStyle="1" w:styleId="longtext">
    <w:name w:val="long_text"/>
    <w:basedOn w:val="Policepardfaut"/>
    <w:rsid w:val="003D14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125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karima</dc:creator>
  <cp:lastModifiedBy>karima</cp:lastModifiedBy>
  <cp:revision>1</cp:revision>
  <dcterms:created xsi:type="dcterms:W3CDTF">2013-04-16T13:50:00Z</dcterms:created>
  <dcterms:modified xsi:type="dcterms:W3CDTF">2013-04-16T14:15:00Z</dcterms:modified>
</cp:coreProperties>
</file>