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5E3A" w:rsidRDefault="00315E3A" w:rsidP="00315E3A">
      <w:r>
        <w:t>On parle d’événements de vie pour désigner toute situation survenant fréquemment ou de</w:t>
      </w:r>
    </w:p>
    <w:p w:rsidR="00315E3A" w:rsidRDefault="00315E3A" w:rsidP="00315E3A">
      <w:r>
        <w:t>manière occasionnelle et qui nécessite de la par du sujet un effort d’adaptation. Tous ces</w:t>
      </w:r>
    </w:p>
    <w:p w:rsidR="00315E3A" w:rsidRDefault="00315E3A" w:rsidP="00315E3A">
      <w:r>
        <w:t>événements ne sont pas forcément nocifs.</w:t>
      </w:r>
    </w:p>
    <w:p w:rsidR="00315E3A" w:rsidRDefault="00315E3A" w:rsidP="00315E3A">
      <w:r>
        <w:t>L’échelle de Paykel permet de classer les dépressifs en fonction des scores obtenus, et</w:t>
      </w:r>
    </w:p>
    <w:p w:rsidR="00315E3A" w:rsidRDefault="00315E3A" w:rsidP="00315E3A">
      <w:r>
        <w:t>d’obtenir une grille d’évaluation comparative du degré de gravité de l’atteinte émotionnelle</w:t>
      </w:r>
    </w:p>
    <w:p w:rsidR="00315E3A" w:rsidRDefault="00315E3A" w:rsidP="00315E3A">
      <w:r>
        <w:t>(du moins grave au plus grave).</w:t>
      </w:r>
    </w:p>
    <w:p w:rsidR="00315E3A" w:rsidRDefault="00315E3A" w:rsidP="00315E3A">
      <w:r>
        <w:t>Le trouble du sommeil n’est pas très important au début et au milieu de la nuit, il est plus</w:t>
      </w:r>
    </w:p>
    <w:p w:rsidR="00315E3A" w:rsidRDefault="00315E3A" w:rsidP="00315E3A">
      <w:r>
        <w:t>présent vers le matin. On note un grand trouble de l’appétit. L’humeur dépressive est très</w:t>
      </w:r>
    </w:p>
    <w:p w:rsidR="00315E3A" w:rsidRDefault="00315E3A" w:rsidP="00315E3A">
      <w:r>
        <w:t>nette marquer par un grand sentiment de tristesse, des pleurs constamment présents, et une</w:t>
      </w:r>
    </w:p>
    <w:p w:rsidR="00315E3A" w:rsidRDefault="00315E3A" w:rsidP="00315E3A">
      <w:r>
        <w:t>personnalité fortement irritable. Le comportement d’agitation est présent mais pas très</w:t>
      </w:r>
    </w:p>
    <w:p w:rsidR="00315E3A" w:rsidRDefault="00315E3A" w:rsidP="00315E3A">
      <w:r>
        <w:t>intense.</w:t>
      </w:r>
    </w:p>
    <w:p w:rsidR="00315E3A" w:rsidRDefault="00315E3A" w:rsidP="00315E3A">
      <w:r>
        <w:t>Le sens d’augmentation des cotations d’Hamilton et les PSES est le même, le test</w:t>
      </w:r>
    </w:p>
    <w:p w:rsidR="00315E3A" w:rsidRDefault="00315E3A" w:rsidP="00315E3A">
      <w:r>
        <w:t>statistique montre une corrélation hautement significative (P****)</w:t>
      </w:r>
    </w:p>
    <w:p w:rsidR="00315E3A" w:rsidRDefault="00315E3A" w:rsidP="00315E3A">
      <w:r>
        <w:t>Les cotations de dépression selon le BDI-II augmentent en fonction de l’augmentation</w:t>
      </w:r>
    </w:p>
    <w:p w:rsidR="00315E3A" w:rsidRDefault="00315E3A" w:rsidP="00315E3A">
      <w:r>
        <w:t>des pondérations standard des évènements stressants. Les cotations de dépression, les pondérations standards des événements stressants varient</w:t>
      </w:r>
    </w:p>
    <w:p w:rsidR="00315E3A" w:rsidRDefault="00315E3A" w:rsidP="00315E3A">
      <w:r>
        <w:t>de la même manière avec le niveau de gravité, les taux de cortisol et d’ACTH varient aussi de</w:t>
      </w:r>
    </w:p>
    <w:p w:rsidR="00315E3A" w:rsidRDefault="00315E3A" w:rsidP="00315E3A">
      <w:r>
        <w:t>la même manière avec le gradient de gravité de la maladie dépressive. Les calcules</w:t>
      </w:r>
    </w:p>
    <w:p w:rsidR="00315E3A" w:rsidRDefault="00315E3A" w:rsidP="00315E3A">
      <w:r>
        <w:t>statistiques donnent un coefficient de corrélation entre les variations des quatre composantes</w:t>
      </w:r>
    </w:p>
    <w:p w:rsidR="00315E3A" w:rsidRDefault="00315E3A" w:rsidP="00315E3A">
      <w:r>
        <w:t>étudiées et les niveaux de gravité: P****.</w:t>
      </w:r>
    </w:p>
    <w:p w:rsidR="00315E3A" w:rsidRDefault="00315E3A" w:rsidP="00315E3A">
      <w:r>
        <w:t>Sur le plan neuroendocrinien il semble que l’ACTH ne peut pas être considéré comme une</w:t>
      </w:r>
    </w:p>
    <w:p w:rsidR="00315E3A" w:rsidRDefault="00315E3A" w:rsidP="00315E3A">
      <w:r>
        <w:t>bonne piste dans la recherche d’une dépression.</w:t>
      </w:r>
    </w:p>
    <w:p w:rsidR="00315E3A" w:rsidRDefault="00315E3A" w:rsidP="00315E3A">
      <w:r>
        <w:t>Le cortisol par contre bien qu’on n’ait pas noté une sérieuse augmentation des taux sauf</w:t>
      </w:r>
    </w:p>
    <w:p w:rsidR="005900CE" w:rsidRDefault="00315E3A" w:rsidP="00315E3A">
      <w:r>
        <w:t>chez un seul cas semble être un très bon indicateur d’un état de dépression.</w:t>
      </w:r>
    </w:p>
    <w:sectPr w:rsidR="005900CE" w:rsidSect="005900C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15E3A"/>
    <w:rsid w:val="00315E3A"/>
    <w:rsid w:val="005900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00C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1520</Characters>
  <Application>Microsoft Office Word</Application>
  <DocSecurity>0</DocSecurity>
  <Lines>12</Lines>
  <Paragraphs>3</Paragraphs>
  <ScaleCrop>false</ScaleCrop>
  <Company/>
  <LinksUpToDate>false</LinksUpToDate>
  <CharactersWithSpaces>1793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2015-01-12T13:20:00Z</dcterms:created>
  <dcterms:modified xsi:type="dcterms:W3CDTF">2015-01-12T13:20:00Z</dcterms:modified>
</cp:coreProperties>
</file>