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48AA" w:rsidRDefault="000348AA" w:rsidP="000348AA">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Résumé :</w:t>
      </w:r>
    </w:p>
    <w:p w:rsidR="000348AA" w:rsidRDefault="000348AA" w:rsidP="000348A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Nous présentons dans ce travail l'étude des courants de préclaquage dans l'huile</w:t>
      </w:r>
    </w:p>
    <w:p w:rsidR="000348AA" w:rsidRDefault="000348AA" w:rsidP="000348A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minérale de transformateur ainsi que les propriétés physico-chimiques des huiles et les gaz dissous. Les différents types de courant ont été enregistrés dans le but de développer une technique de discrimination de ces courants basée sur leur forme et leur amplitude, et permettant d’avoir un dispositif complémentaire de diagnostic en temps réel pouvant servir à la protection des transformateurs. Un algorithme de discrimination a été développé par les réseaux de neurones artificiels (RNA), et la discrimination est faite sur la base de la transformée en ondelettes et de la droite de régression.</w:t>
      </w:r>
    </w:p>
    <w:p w:rsidR="000348AA" w:rsidRDefault="000348AA" w:rsidP="000348A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Un algorithme de test des analyses des gaz dissous a été développé pour renforcer le</w:t>
      </w:r>
    </w:p>
    <w:p w:rsidR="00002BC9" w:rsidRDefault="000348AA" w:rsidP="000348AA">
      <w:r>
        <w:rPr>
          <w:rFonts w:ascii="Times New Roman" w:hAnsi="Times New Roman" w:cs="Times New Roman"/>
          <w:sz w:val="24"/>
          <w:szCs w:val="24"/>
        </w:rPr>
        <w:t>diagnostic par l’analyse des propriétés physico-chimiques</w:t>
      </w:r>
    </w:p>
    <w:sectPr w:rsidR="00002BC9" w:rsidSect="00002BC9">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0348AA"/>
    <w:rsid w:val="00002BC9"/>
    <w:rsid w:val="000348A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2BC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128</Words>
  <Characters>704</Characters>
  <Application>Microsoft Office Word</Application>
  <DocSecurity>0</DocSecurity>
  <Lines>5</Lines>
  <Paragraphs>1</Paragraphs>
  <ScaleCrop>false</ScaleCrop>
  <Company/>
  <LinksUpToDate>false</LinksUpToDate>
  <CharactersWithSpaces>831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2014-11-20T10:10:00Z</dcterms:created>
  <dcterms:modified xsi:type="dcterms:W3CDTF">2014-11-20T10:10:00Z</dcterms:modified>
</cp:coreProperties>
</file>