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Les travaux entrepris et présentés dans ce manuscrit, entrent dans le cadre d’une contribution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au développement de la plateforme de screening virtuel : VSM-G (Virtual Screening Manager for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Grids). Notre objectif est d’accélérer le ciblage virtuel, et cela en incorporant, en amont du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traitement de la chimiothèque, des modules statistiques QSAR (Quantitative Structure-Activity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Relationships), permettant de prédire qualitativement l’activité d’une molécule, et ainsi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d’améliorer la répartition en vrais positifs et en vrais négatifs.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Le screening virtuel ou le criblage effectué sur des banques de composés de taille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importante, consiste, dans notre cas, à sélectionner des molécules susceptibles d’être des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médicaments. Il permet d’éviter de procéder à de trop nombreux essais coûteux nécessités par la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technique du criblage expérimental, et cela en balayant une diversité moléculaire plus importante.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Les objectifs essentiels de nos recherches consistent à implémenter, dans la plateforme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VSM-G, des techniques statistiques permettant d’améliorer l’efficacité du criblage. En effet, les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outils statistiques sont connus pour déterminer des modèles de relation structure-activité à moindre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coût.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Compte tenu de notre non connaissance concernant le langage Java, langage d’écriture de la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plateforme VSM-G, nous avons dû, dans un premier temps nous initier à ce langage. Cette étape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nous a permis ensuite de structurer la conception des interfaces graphiques traduisant chacun des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programmes QSAR à insérer, à savoir : Autocorrelation2 (génération des vecteurs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dAutocorrelation), Acplpk2 (analyse des vecteurs d’Autocorrelation en composantes principales),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Regmul (génération de modèles de relation structure-activité) et Anadis (analyse permettant de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discriminer les molécules actives et les inactives sur la base des composantes principales).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lastRenderedPageBreak/>
        <w:t>L’insertion de ces techniques statistiques dans la plateforme de screening VSM-G, a été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suivie d’une validation du prototype, par une application sur quelques bases de données, d’origines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diverses et de tailles suffisamment importantes. Parmi ces dernières, nous citons les ligands des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récepteurs de la cholécystokinine, qui est une hormone neuropeptidique impliquée dans un grand</w:t>
      </w:r>
    </w:p>
    <w:p w:rsidR="0061213B" w:rsidRPr="0061213B" w:rsidRDefault="0061213B" w:rsidP="0061213B">
      <w:pPr>
        <w:bidi w:val="0"/>
        <w:rPr>
          <w:lang w:val="fr-FR" w:bidi="ar-DZ"/>
        </w:rPr>
      </w:pPr>
      <w:r w:rsidRPr="0061213B">
        <w:rPr>
          <w:lang w:val="fr-FR" w:bidi="ar-DZ"/>
        </w:rPr>
        <w:t>nombre d’actions physiologiques. Le prototype semble prometteur, compte tenu des résultats</w:t>
      </w:r>
    </w:p>
    <w:p w:rsidR="006E252C" w:rsidRPr="0061213B" w:rsidRDefault="0061213B" w:rsidP="0061213B">
      <w:pPr>
        <w:bidi w:val="0"/>
        <w:rPr>
          <w:rFonts w:hint="cs"/>
          <w:lang w:val="fr-FR" w:bidi="ar-DZ"/>
        </w:rPr>
      </w:pPr>
      <w:r w:rsidRPr="0061213B">
        <w:rPr>
          <w:lang w:val="fr-FR" w:bidi="ar-DZ"/>
        </w:rPr>
        <w:t>satisfaisants obtenus sur les différentes bases de molécules considérées.</w:t>
      </w:r>
    </w:p>
    <w:sectPr w:rsidR="006E252C" w:rsidRPr="0061213B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1213B"/>
    <w:rsid w:val="005F47AF"/>
    <w:rsid w:val="0061213B"/>
    <w:rsid w:val="006E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52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2015-11-04T07:48:00Z</dcterms:created>
  <dcterms:modified xsi:type="dcterms:W3CDTF">2015-11-04T07:48:00Z</dcterms:modified>
</cp:coreProperties>
</file>