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098A" w:rsidRDefault="0003098A" w:rsidP="0003098A">
      <w:r>
        <w:t xml:space="preserve">Dans ce travail, nous avons étudié les phénomènes de transport local et non local dans les plasmas chauds en  présence d'un champ magnétique   constant. Pour cela, nous avons résolu numériquement l'équation </w:t>
      </w:r>
      <w:proofErr w:type="spellStart"/>
      <w:r>
        <w:t>intégro</w:t>
      </w:r>
      <w:proofErr w:type="spellEnd"/>
      <w:r>
        <w:t>-différentielle  de Fokker-Planck (FP), adaptée pour décrire les plasmas totalement ionisés. Les collisions électron-électron sont décrites</w:t>
      </w:r>
    </w:p>
    <w:p w:rsidR="0003098A" w:rsidRDefault="0003098A" w:rsidP="0003098A">
      <w:r>
        <w:t xml:space="preserve"> </w:t>
      </w:r>
      <w:proofErr w:type="gramStart"/>
      <w:r>
        <w:t>par</w:t>
      </w:r>
      <w:proofErr w:type="gramEnd"/>
      <w:r>
        <w:t xml:space="preserve"> l'opérateur de Landau sous sa forme intégrale, et ces corrélations sont gardées jusqu'à la seconde anisotropie de la  fonction de distribution (FD). Par conséquent, nos résultats devraient être valables quelque soit la valeur du numéro  atomique Z. Pour la résolution numérique de l'équation de FP, nous avons présenté une approche de résolution qui</w:t>
      </w:r>
    </w:p>
    <w:p w:rsidR="0003098A" w:rsidRDefault="0003098A" w:rsidP="0003098A">
      <w:r>
        <w:t xml:space="preserve"> </w:t>
      </w:r>
      <w:proofErr w:type="gramStart"/>
      <w:r>
        <w:t>consiste</w:t>
      </w:r>
      <w:proofErr w:type="gramEnd"/>
      <w:r>
        <w:t xml:space="preserve"> à réduire cette équation en un système d'équations différentielles ordinaires (EDO) couplées du premier ordre.  Pour le transport local où les processus </w:t>
      </w:r>
      <w:proofErr w:type="spellStart"/>
      <w:r>
        <w:t>collisionnels</w:t>
      </w:r>
      <w:proofErr w:type="spellEnd"/>
      <w:r>
        <w:t xml:space="preserve"> sont dominants par rapport aux effets de l'inhomogénéité du plasma,  i.e.   où   est le libre parcours moyen électron-ion et   la longueur caractéristique du gradient du plasma, nous avons  calculé tous les coefficients de transport électronique induits par la première et la seconde anisotropie de la FD pour  différentes valeurs de Z et </w:t>
      </w:r>
      <w:proofErr w:type="gramStart"/>
      <w:r>
        <w:t>de  .</w:t>
      </w:r>
      <w:proofErr w:type="gramEnd"/>
      <w:r>
        <w:t xml:space="preserve"> Pour le transport non local, nous nous sommes </w:t>
      </w:r>
      <w:proofErr w:type="spellStart"/>
      <w:r>
        <w:t>interessés</w:t>
      </w:r>
      <w:proofErr w:type="spellEnd"/>
      <w:r>
        <w:t xml:space="preserve"> aux plasmas faiblement  inhomogènes (approximation diffusive). Les effets non locaux sont pris en compte à </w:t>
      </w:r>
      <w:proofErr w:type="gramStart"/>
      <w:r>
        <w:t>l'ordre  .</w:t>
      </w:r>
      <w:proofErr w:type="gramEnd"/>
      <w:r>
        <w:t xml:space="preserve"> La procédure numérique est</w:t>
      </w:r>
    </w:p>
    <w:p w:rsidR="00E703B8" w:rsidRDefault="0003098A" w:rsidP="0003098A">
      <w:r>
        <w:t xml:space="preserve"> </w:t>
      </w:r>
      <w:proofErr w:type="gramStart"/>
      <w:r>
        <w:t>la</w:t>
      </w:r>
      <w:proofErr w:type="gramEnd"/>
      <w:r>
        <w:t xml:space="preserve"> même que celle développée pour le transport local. Nous avons calculé les coefficients de transport standards induits  par la première anisotropie de la FD et mis en évidence de nouveaux coefficients. Nous avons aussi proposé des  ajustements numériques pour tous les coefficients de transport locaux et non locaux pour différentes valeurs de et de Z.</w:t>
      </w:r>
    </w:p>
    <w:sectPr w:rsidR="00E703B8" w:rsidSect="00E703B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3098A"/>
    <w:rsid w:val="0003098A"/>
    <w:rsid w:val="00E703B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03B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275</Words>
  <Characters>1514</Characters>
  <Application>Microsoft Office Word</Application>
  <DocSecurity>0</DocSecurity>
  <Lines>12</Lines>
  <Paragraphs>3</Paragraphs>
  <ScaleCrop>false</ScaleCrop>
  <Company/>
  <LinksUpToDate>false</LinksUpToDate>
  <CharactersWithSpaces>1786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2015-01-08T08:50:00Z</dcterms:created>
  <dcterms:modified xsi:type="dcterms:W3CDTF">2015-01-08T08:51:00Z</dcterms:modified>
</cp:coreProperties>
</file>