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47AB" w:rsidRDefault="008847AB" w:rsidP="001E1796">
      <w:pPr>
        <w:jc w:val="center"/>
        <w:rPr>
          <w:rFonts w:asciiTheme="majorBidi" w:hAnsiTheme="majorBidi" w:cstheme="majorBidi"/>
          <w:sz w:val="24"/>
          <w:szCs w:val="24"/>
        </w:rPr>
      </w:pPr>
    </w:p>
    <w:p w:rsidR="008847AB" w:rsidRDefault="008847AB" w:rsidP="001E1796">
      <w:pPr>
        <w:jc w:val="center"/>
        <w:rPr>
          <w:rFonts w:asciiTheme="majorBidi" w:hAnsiTheme="majorBidi" w:cstheme="majorBidi"/>
          <w:sz w:val="24"/>
          <w:szCs w:val="24"/>
        </w:rPr>
      </w:pPr>
    </w:p>
    <w:p w:rsidR="008847AB" w:rsidRDefault="008847AB" w:rsidP="001E1796">
      <w:pPr>
        <w:jc w:val="center"/>
        <w:rPr>
          <w:rFonts w:asciiTheme="majorBidi" w:hAnsiTheme="majorBidi" w:cstheme="majorBidi"/>
          <w:sz w:val="24"/>
          <w:szCs w:val="24"/>
        </w:rPr>
      </w:pPr>
    </w:p>
    <w:p w:rsidR="008847AB" w:rsidRDefault="008847AB" w:rsidP="001E1796">
      <w:pPr>
        <w:jc w:val="center"/>
        <w:rPr>
          <w:rFonts w:asciiTheme="majorBidi" w:hAnsiTheme="majorBidi" w:cstheme="majorBidi"/>
          <w:sz w:val="24"/>
          <w:szCs w:val="24"/>
        </w:rPr>
      </w:pPr>
    </w:p>
    <w:p w:rsidR="008847AB" w:rsidRDefault="008847AB" w:rsidP="001E1796">
      <w:pPr>
        <w:jc w:val="center"/>
        <w:rPr>
          <w:rFonts w:asciiTheme="majorBidi" w:hAnsiTheme="majorBidi" w:cstheme="majorBidi"/>
          <w:sz w:val="24"/>
          <w:szCs w:val="24"/>
        </w:rPr>
      </w:pPr>
    </w:p>
    <w:p w:rsidR="00524AFF" w:rsidRPr="001E1796" w:rsidRDefault="001E1796" w:rsidP="001E1796">
      <w:pPr>
        <w:jc w:val="center"/>
        <w:rPr>
          <w:rFonts w:asciiTheme="majorBidi" w:hAnsiTheme="majorBidi" w:cstheme="majorBidi"/>
          <w:sz w:val="24"/>
          <w:szCs w:val="24"/>
        </w:rPr>
      </w:pPr>
      <w:r w:rsidRPr="001E1796">
        <w:rPr>
          <w:rFonts w:asciiTheme="majorBidi" w:hAnsiTheme="majorBidi" w:cstheme="majorBidi"/>
          <w:sz w:val="24"/>
          <w:szCs w:val="24"/>
        </w:rPr>
        <w:t>Résumé</w:t>
      </w:r>
    </w:p>
    <w:p w:rsidR="001E1796" w:rsidRDefault="001E1796" w:rsidP="001E1796">
      <w:pPr>
        <w:spacing w:line="360" w:lineRule="auto"/>
        <w:ind w:firstLine="426"/>
        <w:jc w:val="both"/>
        <w:rPr>
          <w:rFonts w:asciiTheme="majorBidi" w:hAnsiTheme="majorBidi" w:cstheme="majorBidi"/>
          <w:sz w:val="24"/>
          <w:szCs w:val="24"/>
        </w:rPr>
      </w:pPr>
      <w:r>
        <w:rPr>
          <w:rFonts w:asciiTheme="majorBidi" w:hAnsiTheme="majorBidi" w:cstheme="majorBidi"/>
          <w:sz w:val="24"/>
          <w:szCs w:val="24"/>
        </w:rPr>
        <w:t xml:space="preserve">Une étude expérimentale sur un moteur a été effectuée avec le mélange à hydrogène, en mélange pauvre, à différentes valeurs de la richesse, </w:t>
      </w:r>
      <w:proofErr w:type="gramStart"/>
      <w:r>
        <w:rPr>
          <w:rFonts w:asciiTheme="majorBidi" w:hAnsiTheme="majorBidi" w:cstheme="majorBidi"/>
          <w:sz w:val="24"/>
          <w:szCs w:val="24"/>
        </w:rPr>
        <w:t>0,67;</w:t>
      </w:r>
      <w:proofErr w:type="gramEnd"/>
      <w:r>
        <w:rPr>
          <w:rFonts w:asciiTheme="majorBidi" w:hAnsiTheme="majorBidi" w:cstheme="majorBidi"/>
          <w:sz w:val="24"/>
          <w:szCs w:val="24"/>
        </w:rPr>
        <w:t xml:space="preserve"> 0,75 et 0,81, fonctionnant à vide et à pleine charge. Cette étude a conduit à optimiser les caractéristiques performantes de cette combustion. Ensuite, une modélisation de la combustion du moteur à partir des cycles de pressions et de deux modèles, l’un zéro dimension, représenté par la théorie de </w:t>
      </w:r>
      <w:proofErr w:type="spellStart"/>
      <w:r>
        <w:rPr>
          <w:rFonts w:asciiTheme="majorBidi" w:hAnsiTheme="majorBidi" w:cstheme="majorBidi"/>
          <w:sz w:val="24"/>
          <w:szCs w:val="24"/>
        </w:rPr>
        <w:t>Rassweiller</w:t>
      </w:r>
      <w:proofErr w:type="spellEnd"/>
      <w:r>
        <w:rPr>
          <w:rFonts w:asciiTheme="majorBidi" w:hAnsiTheme="majorBidi" w:cstheme="majorBidi"/>
          <w:sz w:val="24"/>
          <w:szCs w:val="24"/>
        </w:rPr>
        <w:t xml:space="preserve"> et </w:t>
      </w:r>
      <w:proofErr w:type="spellStart"/>
      <w:r>
        <w:rPr>
          <w:rFonts w:asciiTheme="majorBidi" w:hAnsiTheme="majorBidi" w:cstheme="majorBidi"/>
          <w:sz w:val="24"/>
          <w:szCs w:val="24"/>
        </w:rPr>
        <w:t>Withrow</w:t>
      </w:r>
      <w:proofErr w:type="spellEnd"/>
      <w:r>
        <w:rPr>
          <w:rFonts w:asciiTheme="majorBidi" w:hAnsiTheme="majorBidi" w:cstheme="majorBidi"/>
          <w:sz w:val="24"/>
          <w:szCs w:val="24"/>
        </w:rPr>
        <w:t xml:space="preserve"> et l’autre à une dimension, basé sur le premier principe de la thermodynamique impliquant le rapport des chaleurs spécifiques du mélange comme une valeur constante ou une variable dépendante de l’évolution de la température du cylindre lors du processus de combustion a été étudiée. Les caractéristiques du comportement de la combustion quel que soit le modèle traité ont été obtenus à pa</w:t>
      </w:r>
      <w:bookmarkStart w:id="0" w:name="_GoBack"/>
      <w:bookmarkEnd w:id="0"/>
      <w:r>
        <w:rPr>
          <w:rFonts w:asciiTheme="majorBidi" w:hAnsiTheme="majorBidi" w:cstheme="majorBidi"/>
          <w:sz w:val="24"/>
          <w:szCs w:val="24"/>
        </w:rPr>
        <w:t xml:space="preserve">rtir du langage Fortran 77. Enfin, une simulation du moteur fonctionnant au méthane a été construite dans le logiciel </w:t>
      </w:r>
      <w:proofErr w:type="spellStart"/>
      <w:r>
        <w:rPr>
          <w:rFonts w:asciiTheme="majorBidi" w:hAnsiTheme="majorBidi" w:cstheme="majorBidi"/>
          <w:sz w:val="24"/>
          <w:szCs w:val="24"/>
        </w:rPr>
        <w:t>Amesim</w:t>
      </w:r>
      <w:proofErr w:type="spellEnd"/>
      <w:r>
        <w:rPr>
          <w:rFonts w:asciiTheme="majorBidi" w:hAnsiTheme="majorBidi" w:cstheme="majorBidi"/>
          <w:sz w:val="24"/>
          <w:szCs w:val="24"/>
        </w:rPr>
        <w:t xml:space="preserve">, sous deux modes d’injection, l’un direct et l’autre indirect permettant de relever leurs différences et leurs similitudes. </w:t>
      </w:r>
    </w:p>
    <w:p w:rsidR="001E1796" w:rsidRDefault="001E1796"/>
    <w:sectPr w:rsidR="001E1796" w:rsidSect="00FB2178">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E1796"/>
    <w:rsid w:val="001E1796"/>
    <w:rsid w:val="00524AFF"/>
    <w:rsid w:val="008847AB"/>
    <w:rsid w:val="00AF154E"/>
    <w:rsid w:val="00DC1A00"/>
    <w:rsid w:val="00FB217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1796"/>
    <w:pPr>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167</Words>
  <Characters>952</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picos</dc:creator>
  <cp:lastModifiedBy>traitement</cp:lastModifiedBy>
  <cp:revision>3</cp:revision>
  <dcterms:created xsi:type="dcterms:W3CDTF">2017-05-08T12:35:00Z</dcterms:created>
  <dcterms:modified xsi:type="dcterms:W3CDTF">2017-05-08T12:35:00Z</dcterms:modified>
</cp:coreProperties>
</file>