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6347A" w:rsidRPr="00F6347A" w:rsidRDefault="00F6347A" w:rsidP="00F6347A">
      <w:pPr>
        <w:bidi w:val="0"/>
        <w:rPr>
          <w:lang w:val="fr-FR" w:bidi="ar-DZ"/>
        </w:rPr>
      </w:pPr>
      <w:r w:rsidRPr="00F6347A">
        <w:rPr>
          <w:lang w:val="fr-FR" w:bidi="ar-DZ"/>
        </w:rPr>
        <w:t xml:space="preserve">Les polysaccharides constituent la partie dominante des polymères </w:t>
      </w:r>
      <w:proofErr w:type="spellStart"/>
      <w:r w:rsidRPr="00F6347A">
        <w:rPr>
          <w:lang w:val="fr-FR" w:bidi="ar-DZ"/>
        </w:rPr>
        <w:t>superabsorbants</w:t>
      </w:r>
      <w:proofErr w:type="spellEnd"/>
      <w:r w:rsidRPr="00F6347A">
        <w:rPr>
          <w:lang w:val="fr-FR" w:bidi="ar-DZ"/>
        </w:rPr>
        <w:t xml:space="preserve"> naturels. </w:t>
      </w:r>
    </w:p>
    <w:p w:rsidR="00F6347A" w:rsidRPr="00F6347A" w:rsidRDefault="00F6347A" w:rsidP="00F6347A">
      <w:pPr>
        <w:bidi w:val="0"/>
        <w:rPr>
          <w:lang w:val="fr-FR" w:bidi="ar-DZ"/>
        </w:rPr>
      </w:pPr>
      <w:r w:rsidRPr="00F6347A">
        <w:rPr>
          <w:lang w:val="fr-FR" w:bidi="ar-DZ"/>
        </w:rPr>
        <w:t xml:space="preserve">Le greffage par copolymérisation radicalaire de monomères vinyliques hydrophiles réticulés sur les chaînes de </w:t>
      </w:r>
    </w:p>
    <w:p w:rsidR="00F6347A" w:rsidRPr="00F6347A" w:rsidRDefault="00F6347A" w:rsidP="00F6347A">
      <w:pPr>
        <w:bidi w:val="0"/>
        <w:rPr>
          <w:lang w:val="fr-FR" w:bidi="ar-DZ"/>
        </w:rPr>
      </w:pPr>
      <w:proofErr w:type="spellStart"/>
      <w:proofErr w:type="gramStart"/>
      <w:r w:rsidRPr="00F6347A">
        <w:rPr>
          <w:lang w:val="fr-FR" w:bidi="ar-DZ"/>
        </w:rPr>
        <w:t>chitosane</w:t>
      </w:r>
      <w:proofErr w:type="spellEnd"/>
      <w:proofErr w:type="gramEnd"/>
      <w:r w:rsidRPr="00F6347A">
        <w:rPr>
          <w:lang w:val="fr-FR" w:bidi="ar-DZ"/>
        </w:rPr>
        <w:t xml:space="preserve"> s’avère une méthode adéquate pour préparer des matériaux </w:t>
      </w:r>
      <w:proofErr w:type="spellStart"/>
      <w:r w:rsidRPr="00F6347A">
        <w:rPr>
          <w:lang w:val="fr-FR" w:bidi="ar-DZ"/>
        </w:rPr>
        <w:t>superabsorbants</w:t>
      </w:r>
      <w:proofErr w:type="spellEnd"/>
      <w:r w:rsidRPr="00F6347A">
        <w:rPr>
          <w:lang w:val="fr-FR" w:bidi="ar-DZ"/>
        </w:rPr>
        <w:t xml:space="preserve"> à biodégradabilité </w:t>
      </w:r>
    </w:p>
    <w:p w:rsidR="00F6347A" w:rsidRPr="00F6347A" w:rsidRDefault="00F6347A" w:rsidP="00F6347A">
      <w:pPr>
        <w:bidi w:val="0"/>
        <w:rPr>
          <w:lang w:val="fr-FR" w:bidi="ar-DZ"/>
        </w:rPr>
      </w:pPr>
      <w:proofErr w:type="gramStart"/>
      <w:r w:rsidRPr="00F6347A">
        <w:rPr>
          <w:lang w:val="fr-FR" w:bidi="ar-DZ"/>
        </w:rPr>
        <w:t>améliorée</w:t>
      </w:r>
      <w:proofErr w:type="gramEnd"/>
      <w:r w:rsidRPr="00F6347A">
        <w:rPr>
          <w:lang w:val="fr-FR" w:bidi="ar-DZ"/>
        </w:rPr>
        <w:t xml:space="preserve"> et dotés de fonctions bioactives comme l'activité antibactérienne.</w:t>
      </w:r>
    </w:p>
    <w:p w:rsidR="00F6347A" w:rsidRPr="00F6347A" w:rsidRDefault="00F6347A" w:rsidP="00F6347A">
      <w:pPr>
        <w:bidi w:val="0"/>
        <w:rPr>
          <w:lang w:val="fr-FR" w:bidi="ar-DZ"/>
        </w:rPr>
      </w:pPr>
      <w:r w:rsidRPr="00F6347A">
        <w:rPr>
          <w:lang w:val="fr-FR" w:bidi="ar-DZ"/>
        </w:rPr>
        <w:t xml:space="preserve">    Dans cette optique, nous avons synthétisé des polymères </w:t>
      </w:r>
      <w:proofErr w:type="spellStart"/>
      <w:r w:rsidRPr="00F6347A">
        <w:rPr>
          <w:lang w:val="fr-FR" w:bidi="ar-DZ"/>
        </w:rPr>
        <w:t>superabsorbants</w:t>
      </w:r>
      <w:proofErr w:type="spellEnd"/>
      <w:r w:rsidRPr="00F6347A">
        <w:rPr>
          <w:lang w:val="fr-FR" w:bidi="ar-DZ"/>
        </w:rPr>
        <w:t xml:space="preserve"> (hydrogels) greffés </w:t>
      </w:r>
    </w:p>
    <w:p w:rsidR="00F6347A" w:rsidRPr="00F6347A" w:rsidRDefault="00F6347A" w:rsidP="00F6347A">
      <w:pPr>
        <w:bidi w:val="0"/>
        <w:rPr>
          <w:lang w:val="fr-FR" w:bidi="ar-DZ"/>
        </w:rPr>
      </w:pPr>
      <w:proofErr w:type="spellStart"/>
      <w:r w:rsidRPr="00F6347A">
        <w:rPr>
          <w:lang w:val="fr-FR" w:bidi="ar-DZ"/>
        </w:rPr>
        <w:t>chitosane</w:t>
      </w:r>
      <w:proofErr w:type="spellEnd"/>
      <w:r w:rsidRPr="00F6347A">
        <w:rPr>
          <w:lang w:val="fr-FR" w:bidi="ar-DZ"/>
        </w:rPr>
        <w:t>-g-poly (</w:t>
      </w:r>
      <w:proofErr w:type="spellStart"/>
      <w:r w:rsidRPr="00F6347A">
        <w:rPr>
          <w:lang w:val="fr-FR" w:bidi="ar-DZ"/>
        </w:rPr>
        <w:t>acrylamide</w:t>
      </w:r>
      <w:proofErr w:type="spellEnd"/>
      <w:r w:rsidRPr="00F6347A">
        <w:rPr>
          <w:lang w:val="fr-FR" w:bidi="ar-DZ"/>
        </w:rPr>
        <w:t>) [Cs-g-</w:t>
      </w:r>
      <w:proofErr w:type="spellStart"/>
      <w:r w:rsidRPr="00F6347A">
        <w:rPr>
          <w:lang w:val="fr-FR" w:bidi="ar-DZ"/>
        </w:rPr>
        <w:t>PAAm</w:t>
      </w:r>
      <w:proofErr w:type="spellEnd"/>
      <w:r w:rsidRPr="00F6347A">
        <w:rPr>
          <w:lang w:val="fr-FR" w:bidi="ar-DZ"/>
        </w:rPr>
        <w:t xml:space="preserve">] à différents rapports massiques en Cs. </w:t>
      </w:r>
    </w:p>
    <w:p w:rsidR="00F6347A" w:rsidRPr="00F6347A" w:rsidRDefault="00F6347A" w:rsidP="00F6347A">
      <w:pPr>
        <w:bidi w:val="0"/>
        <w:rPr>
          <w:lang w:val="fr-FR" w:bidi="ar-DZ"/>
        </w:rPr>
      </w:pPr>
      <w:r w:rsidRPr="00F6347A">
        <w:rPr>
          <w:lang w:val="fr-FR" w:bidi="ar-DZ"/>
        </w:rPr>
        <w:t xml:space="preserve">En fixant une composition de 20 % en Cs, deux séries de </w:t>
      </w:r>
      <w:proofErr w:type="spellStart"/>
      <w:r w:rsidRPr="00F6347A">
        <w:rPr>
          <w:lang w:val="fr-FR" w:bidi="ar-DZ"/>
        </w:rPr>
        <w:t>superabsorbants</w:t>
      </w:r>
      <w:proofErr w:type="spellEnd"/>
      <w:r w:rsidRPr="00F6347A">
        <w:rPr>
          <w:lang w:val="fr-FR" w:bidi="ar-DZ"/>
        </w:rPr>
        <w:t xml:space="preserve"> composites à types réseaux </w:t>
      </w:r>
    </w:p>
    <w:p w:rsidR="00F6347A" w:rsidRPr="00F6347A" w:rsidRDefault="00F6347A" w:rsidP="00F6347A">
      <w:pPr>
        <w:bidi w:val="0"/>
        <w:rPr>
          <w:lang w:val="fr-FR" w:bidi="ar-DZ"/>
        </w:rPr>
      </w:pPr>
      <w:r w:rsidRPr="00F6347A">
        <w:rPr>
          <w:lang w:val="fr-FR" w:bidi="ar-DZ"/>
        </w:rPr>
        <w:t xml:space="preserve">semi-interpénétrés (Semi-IPN) puis </w:t>
      </w:r>
      <w:proofErr w:type="spellStart"/>
      <w:r w:rsidRPr="00F6347A">
        <w:rPr>
          <w:lang w:val="fr-FR" w:bidi="ar-DZ"/>
        </w:rPr>
        <w:t>nanocomposites</w:t>
      </w:r>
      <w:proofErr w:type="spellEnd"/>
      <w:r w:rsidRPr="00F6347A">
        <w:rPr>
          <w:lang w:val="fr-FR" w:bidi="ar-DZ"/>
        </w:rPr>
        <w:t xml:space="preserve">, ont été préparées en vue d’améliorer leurs propriétés. </w:t>
      </w:r>
    </w:p>
    <w:p w:rsidR="00F6347A" w:rsidRPr="00F6347A" w:rsidRDefault="00F6347A" w:rsidP="00F6347A">
      <w:pPr>
        <w:bidi w:val="0"/>
        <w:rPr>
          <w:lang w:val="fr-FR" w:bidi="ar-DZ"/>
        </w:rPr>
      </w:pPr>
      <w:r w:rsidRPr="00F6347A">
        <w:rPr>
          <w:lang w:val="fr-FR" w:bidi="ar-DZ"/>
        </w:rPr>
        <w:t xml:space="preserve">La première série [Cs-g-PAAm20/CMC] a été élaborée par l’ajout de la </w:t>
      </w:r>
      <w:proofErr w:type="spellStart"/>
      <w:r w:rsidRPr="00F6347A">
        <w:rPr>
          <w:lang w:val="fr-FR" w:bidi="ar-DZ"/>
        </w:rPr>
        <w:t>carboxyméthylcellulose</w:t>
      </w:r>
      <w:proofErr w:type="spellEnd"/>
      <w:r w:rsidRPr="00F6347A">
        <w:rPr>
          <w:lang w:val="fr-FR" w:bidi="ar-DZ"/>
        </w:rPr>
        <w:t xml:space="preserve"> (CMC), à </w:t>
      </w:r>
    </w:p>
    <w:p w:rsidR="00F6347A" w:rsidRPr="00F6347A" w:rsidRDefault="00F6347A" w:rsidP="00F6347A">
      <w:pPr>
        <w:bidi w:val="0"/>
        <w:rPr>
          <w:lang w:val="fr-FR" w:bidi="ar-DZ"/>
        </w:rPr>
      </w:pPr>
      <w:proofErr w:type="gramStart"/>
      <w:r w:rsidRPr="00F6347A">
        <w:rPr>
          <w:lang w:val="fr-FR" w:bidi="ar-DZ"/>
        </w:rPr>
        <w:t>différentes</w:t>
      </w:r>
      <w:proofErr w:type="gramEnd"/>
      <w:r w:rsidRPr="00F6347A">
        <w:rPr>
          <w:lang w:val="fr-FR" w:bidi="ar-DZ"/>
        </w:rPr>
        <w:t xml:space="preserve"> fractions. La seconde [Cs-g-PAAm20/MMT-Na] a été réalisée par voie in situ, en présence de</w:t>
      </w:r>
    </w:p>
    <w:p w:rsidR="00F6347A" w:rsidRPr="00F6347A" w:rsidRDefault="00F6347A" w:rsidP="00F6347A">
      <w:pPr>
        <w:bidi w:val="0"/>
        <w:rPr>
          <w:lang w:val="fr-FR" w:bidi="ar-DZ"/>
        </w:rPr>
      </w:pPr>
      <w:r w:rsidRPr="00F6347A">
        <w:rPr>
          <w:lang w:val="fr-FR" w:bidi="ar-DZ"/>
        </w:rPr>
        <w:t xml:space="preserve"> La montmorillonite sodique (MMT-Na) à différents taux. Par la suite, nous avons hydrolysé partiellement ces</w:t>
      </w:r>
    </w:p>
    <w:p w:rsidR="00F6347A" w:rsidRPr="00F6347A" w:rsidRDefault="00F6347A" w:rsidP="00F6347A">
      <w:pPr>
        <w:bidi w:val="0"/>
        <w:rPr>
          <w:lang w:val="fr-FR" w:bidi="ar-DZ"/>
        </w:rPr>
      </w:pPr>
      <w:r w:rsidRPr="00F6347A">
        <w:rPr>
          <w:lang w:val="fr-FR" w:bidi="ar-DZ"/>
        </w:rPr>
        <w:t xml:space="preserve"> </w:t>
      </w:r>
      <w:proofErr w:type="gramStart"/>
      <w:r w:rsidRPr="00F6347A">
        <w:rPr>
          <w:lang w:val="fr-FR" w:bidi="ar-DZ"/>
        </w:rPr>
        <w:t>gels</w:t>
      </w:r>
      <w:proofErr w:type="gramEnd"/>
      <w:r w:rsidRPr="00F6347A">
        <w:rPr>
          <w:lang w:val="fr-FR" w:bidi="ar-DZ"/>
        </w:rPr>
        <w:t xml:space="preserve"> en vue d’améliorer leurs propriétés de gonflement. Notre étude s’est focalisée sur l’influence de la </w:t>
      </w:r>
    </w:p>
    <w:p w:rsidR="00F6347A" w:rsidRPr="00F6347A" w:rsidRDefault="00F6347A" w:rsidP="00F6347A">
      <w:pPr>
        <w:bidi w:val="0"/>
        <w:rPr>
          <w:lang w:val="fr-FR" w:bidi="ar-DZ"/>
        </w:rPr>
      </w:pPr>
      <w:proofErr w:type="gramStart"/>
      <w:r w:rsidRPr="00F6347A">
        <w:rPr>
          <w:lang w:val="fr-FR" w:bidi="ar-DZ"/>
        </w:rPr>
        <w:t>composition</w:t>
      </w:r>
      <w:proofErr w:type="gramEnd"/>
      <w:r w:rsidRPr="00F6347A">
        <w:rPr>
          <w:lang w:val="fr-FR" w:bidi="ar-DZ"/>
        </w:rPr>
        <w:t xml:space="preserve"> en Cs, CMC et MMT-Na sur les propriétés des biomatériaux obtenus telles que leur capacité de </w:t>
      </w:r>
    </w:p>
    <w:p w:rsidR="00F6347A" w:rsidRPr="00F6347A" w:rsidRDefault="00F6347A" w:rsidP="00F6347A">
      <w:pPr>
        <w:bidi w:val="0"/>
        <w:rPr>
          <w:lang w:val="fr-FR" w:bidi="ar-DZ"/>
        </w:rPr>
      </w:pPr>
      <w:proofErr w:type="gramStart"/>
      <w:r w:rsidRPr="00F6347A">
        <w:rPr>
          <w:lang w:val="fr-FR" w:bidi="ar-DZ"/>
        </w:rPr>
        <w:t>gonflement</w:t>
      </w:r>
      <w:proofErr w:type="gramEnd"/>
      <w:r w:rsidRPr="00F6347A">
        <w:rPr>
          <w:lang w:val="fr-FR" w:bidi="ar-DZ"/>
        </w:rPr>
        <w:t xml:space="preserve">, leurs propriétés thermiques ainsi que leur propriété </w:t>
      </w:r>
      <w:proofErr w:type="spellStart"/>
      <w:r w:rsidRPr="00F6347A">
        <w:rPr>
          <w:lang w:val="fr-FR" w:bidi="ar-DZ"/>
        </w:rPr>
        <w:t>anti-bactérienne</w:t>
      </w:r>
      <w:proofErr w:type="spellEnd"/>
      <w:r w:rsidRPr="00F6347A">
        <w:rPr>
          <w:lang w:val="fr-FR" w:bidi="ar-DZ"/>
        </w:rPr>
        <w:t>.</w:t>
      </w:r>
    </w:p>
    <w:p w:rsidR="00F6347A" w:rsidRPr="00F6347A" w:rsidRDefault="00F6347A" w:rsidP="00F6347A">
      <w:pPr>
        <w:bidi w:val="0"/>
        <w:rPr>
          <w:lang w:val="fr-FR" w:bidi="ar-DZ"/>
        </w:rPr>
      </w:pPr>
      <w:r w:rsidRPr="00F6347A">
        <w:rPr>
          <w:lang w:val="fr-FR" w:bidi="ar-DZ"/>
        </w:rPr>
        <w:t xml:space="preserve">   Différentes techniques ont été utilisées pour caractériser les biomatériaux tels que FTIR-ATR, DSC, ATG, </w:t>
      </w:r>
    </w:p>
    <w:p w:rsidR="00715B19" w:rsidRPr="00F6347A" w:rsidRDefault="00F6347A" w:rsidP="00F6347A">
      <w:pPr>
        <w:bidi w:val="0"/>
        <w:rPr>
          <w:rFonts w:hint="cs"/>
          <w:lang w:val="fr-FR" w:bidi="ar-DZ"/>
        </w:rPr>
      </w:pPr>
      <w:r w:rsidRPr="00F6347A">
        <w:rPr>
          <w:lang w:val="fr-FR" w:bidi="ar-DZ"/>
        </w:rPr>
        <w:t>DRX et SEM.</w:t>
      </w:r>
    </w:p>
    <w:sectPr w:rsidR="00715B19" w:rsidRPr="00F6347A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proofState w:spelling="clean" w:grammar="clean"/>
  <w:defaultTabStop w:val="720"/>
  <w:characterSpacingControl w:val="doNotCompress"/>
  <w:compat/>
  <w:rsids>
    <w:rsidRoot w:val="00F6347A"/>
    <w:rsid w:val="005F47AF"/>
    <w:rsid w:val="00715B19"/>
    <w:rsid w:val="00F6347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15B19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224</Words>
  <Characters>1278</Characters>
  <Application>Microsoft Office Word</Application>
  <DocSecurity>0</DocSecurity>
  <Lines>10</Lines>
  <Paragraphs>2</Paragraphs>
  <ScaleCrop>false</ScaleCrop>
  <Company/>
  <LinksUpToDate>false</LinksUpToDate>
  <CharactersWithSpaces>1500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1</cp:revision>
  <dcterms:created xsi:type="dcterms:W3CDTF">2016-01-04T09:58:00Z</dcterms:created>
  <dcterms:modified xsi:type="dcterms:W3CDTF">2016-01-04T09:59:00Z</dcterms:modified>
</cp:coreProperties>
</file>