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13C4" w:rsidRDefault="004C13C4" w:rsidP="004C13C4">
      <w:r>
        <w:t>'étude entreprise et présentée dans ce mémoire, traite de la convection naturelle laminaire et instationnaire dans un fluide newtonien s'écoulant au sein d'un cylindre poreux ouvert à ses extrémités. L'écoulement est modélisé en utilisant le modèle de Darcy et l'approximation de Boussinesq. Deux types de conditions aux frontières sont considérés à la paroi externe du cylindre, à savoir une température constante et une température périodique sinusoïdale afin de simuler le défilement des journées ou des années.</w:t>
      </w:r>
    </w:p>
    <w:p w:rsidR="004C13C4" w:rsidRDefault="004C13C4" w:rsidP="004C13C4">
      <w:r>
        <w:t xml:space="preserve">Pour le cas du chauffage à température constante, l'écoulement est semblable à celui rencontré dans le cas d'une plaque plane en milieu semi-infini où une couche limite se développe. Les résultats obtenus mettent en évidence, selon les valeurs de A et de Ra, deux types d'écoulements: un écoulement avec recirculation et un écoulement sans recirculation. La limite de l'obtention de l'une ou de l'autre situation est obtenue suivant la corrélation . L'analyse du transfert de chaleur montre qu'il augmente (le transfert de chaleur) avec l'accroissement du nombre de Rayleigh. Le nombre de Nusselt moyen est sensible aux valeurs des nombres de Biot et du rapport de forme uniquement pour les faibles nombre de Rayleigh et cette dépendance disparait lorsque le tirage thermique augmente(Ra). La corrélation de l'évolution du transfert de chaleur, dans ce dernier cas, est obtenue comme:  </w:t>
      </w:r>
    </w:p>
    <w:p w:rsidR="00303822" w:rsidRDefault="004C13C4" w:rsidP="004C13C4">
      <w:r>
        <w:t>Par ailleurs, l'analyse du chauffage périodique de la paroi du cylindre donne des résultats importants. Une équivalence entre les transferts des deux cas de chauffage constant et modulé dans le temps est observée (variation relative inférieure à 5%) pour les faibles amplitudes adimensionnelle (XA&lt;0,5) alors que pour des amplitudes plus élevées (supérieures à 0,5), l'amélioration du transfert de chaleur moyen est directement proportionnelle aux valeurs du nombre de Rayleigh Ra, et peut s'avérer plus significative notamment pour les grandes amplitudes (XA=1) où une augmentation de 19,5% à été calculée. Notons que l'effet de la réduction de la période d'oscillation est négligeable et que la connexion du domaine d'étude avec l'ambiant (nombre de Biot) influence, également très peu dans la plage de paramètres considérée.</w:t>
      </w:r>
    </w:p>
    <w:sectPr w:rsidR="00303822" w:rsidSect="0030382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4C13C4"/>
    <w:rsid w:val="00303822"/>
    <w:rsid w:val="004C13C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382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343</Words>
  <Characters>1887</Characters>
  <Application>Microsoft Office Word</Application>
  <DocSecurity>0</DocSecurity>
  <Lines>15</Lines>
  <Paragraphs>4</Paragraphs>
  <ScaleCrop>false</ScaleCrop>
  <Company/>
  <LinksUpToDate>false</LinksUpToDate>
  <CharactersWithSpaces>2226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2014-11-26T13:40:00Z</dcterms:created>
  <dcterms:modified xsi:type="dcterms:W3CDTF">2014-11-26T13:41:00Z</dcterms:modified>
</cp:coreProperties>
</file>