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7D44" w:rsidRPr="00AB7D44" w:rsidRDefault="00AB7D44" w:rsidP="00AB7D44">
      <w:pPr>
        <w:bidi w:val="0"/>
        <w:rPr>
          <w:lang w:val="fr-FR" w:bidi="ar-DZ"/>
        </w:rPr>
      </w:pPr>
      <w:r w:rsidRPr="00AB7D44">
        <w:rPr>
          <w:lang w:val="fr-FR" w:bidi="ar-DZ"/>
        </w:rPr>
        <w:t xml:space="preserve">Une étude paramétrique est entreprise afin de déterminer les conditions optimales d'un système de </w:t>
      </w:r>
    </w:p>
    <w:p w:rsidR="00AB7D44" w:rsidRPr="00AB7D44" w:rsidRDefault="00AB7D44" w:rsidP="00AB7D44">
      <w:pPr>
        <w:bidi w:val="0"/>
        <w:rPr>
          <w:lang w:val="fr-FR" w:bidi="ar-DZ"/>
        </w:rPr>
      </w:pPr>
      <w:r w:rsidRPr="00AB7D44">
        <w:rPr>
          <w:lang w:val="fr-FR" w:bidi="ar-DZ"/>
        </w:rPr>
        <w:t xml:space="preserve"> Solidification verticale de type Bridgman. </w:t>
      </w:r>
    </w:p>
    <w:p w:rsidR="00AB7D44" w:rsidRPr="00AB7D44" w:rsidRDefault="00AB7D44" w:rsidP="00AB7D44">
      <w:pPr>
        <w:bidi w:val="0"/>
        <w:rPr>
          <w:lang w:val="fr-FR" w:bidi="ar-DZ"/>
        </w:rPr>
      </w:pPr>
      <w:r w:rsidRPr="00AB7D44">
        <w:rPr>
          <w:lang w:val="fr-FR" w:bidi="ar-DZ"/>
        </w:rPr>
        <w:t xml:space="preserve">   Une analyse détaillée est menée sur les structures d'écoulements et les transferts couplés de chaleur et de soluté pendant le changement de phase d'un alliage métallique dans une cavité cylindrique verticale  exposée  à un profil de température linéaire qui varie avec le temps.</w:t>
      </w:r>
    </w:p>
    <w:p w:rsidR="00AB7D44" w:rsidRPr="00AB7D44" w:rsidRDefault="00AB7D44" w:rsidP="00AB7D44">
      <w:pPr>
        <w:bidi w:val="0"/>
        <w:rPr>
          <w:lang w:val="fr-FR" w:bidi="ar-DZ"/>
        </w:rPr>
      </w:pPr>
      <w:r w:rsidRPr="00AB7D44">
        <w:rPr>
          <w:lang w:val="fr-FR" w:bidi="ar-DZ"/>
        </w:rPr>
        <w:t xml:space="preserve">   Un code de calcul a été développé sur la base de la méthode des volumes finis pour résoudre les équations conservatives.  Celles-ci sont explicitées en coordonnées cylindriques axisymétriques et en formulation primitive (2 D ½). </w:t>
      </w:r>
    </w:p>
    <w:p w:rsidR="00AB7D44" w:rsidRPr="00AB7D44" w:rsidRDefault="00AB7D44" w:rsidP="00AB7D44">
      <w:pPr>
        <w:bidi w:val="0"/>
        <w:rPr>
          <w:lang w:val="fr-FR" w:bidi="ar-DZ"/>
        </w:rPr>
      </w:pPr>
      <w:r w:rsidRPr="00AB7D44">
        <w:rPr>
          <w:lang w:val="fr-FR" w:bidi="ar-DZ"/>
        </w:rPr>
        <w:t xml:space="preserve">ce travail a traité le transfert de chaleur et de masse dans un four de croissance partagé en trois zones ; chaude, froide et la région du profil de température, en régime transitoire en évaluant les effets couplés des forces d'inertie, des poussées d'Archimède et le terme de changement de phase sur le champ dynamique et le transfert </w:t>
      </w:r>
      <w:proofErr w:type="spellStart"/>
      <w:r w:rsidRPr="00AB7D44">
        <w:rPr>
          <w:lang w:val="fr-FR" w:bidi="ar-DZ"/>
        </w:rPr>
        <w:t>thermosolutal</w:t>
      </w:r>
      <w:proofErr w:type="spellEnd"/>
      <w:r w:rsidRPr="00AB7D44">
        <w:rPr>
          <w:lang w:val="fr-FR" w:bidi="ar-DZ"/>
        </w:rPr>
        <w:t xml:space="preserve">.  L'étude a été menée afin de quantifier les effets des groupements adimensionnels gouvernants le système.  </w:t>
      </w:r>
    </w:p>
    <w:p w:rsidR="00AB7D44" w:rsidRPr="00AB7D44" w:rsidRDefault="00AB7D44" w:rsidP="00AB7D44">
      <w:pPr>
        <w:bidi w:val="0"/>
        <w:rPr>
          <w:lang w:val="fr-FR" w:bidi="ar-DZ"/>
        </w:rPr>
      </w:pPr>
      <w:r w:rsidRPr="00AB7D44">
        <w:rPr>
          <w:lang w:val="fr-FR" w:bidi="ar-DZ"/>
        </w:rPr>
        <w:t>L'accent est mis sur l'influence du champ magnétique  à travers le nombre de Hartmann sur l'effet de l'écoulement dans le bain et la distribution du soluté. Ces effets de convection naturelle sont exprimés par le nombre de Rayleigh thermique et le rapport des forces de poussées combinées.  On montre également l'effet magnétohydrodynamique  qui favorise les échanges thermique et massique dans la zone pâteuse, sauf quand celle-ci est faible.  La  force d'Archimède a, dans ce cas, des effets inverses.</w:t>
      </w:r>
    </w:p>
    <w:p w:rsidR="00AB7D44" w:rsidRPr="00AB7D44" w:rsidRDefault="00AB7D44" w:rsidP="00AB7D44">
      <w:pPr>
        <w:bidi w:val="0"/>
        <w:rPr>
          <w:lang w:val="fr-FR" w:bidi="ar-DZ"/>
        </w:rPr>
      </w:pPr>
      <w:r w:rsidRPr="00AB7D44">
        <w:rPr>
          <w:lang w:val="fr-FR" w:bidi="ar-DZ"/>
        </w:rPr>
        <w:t xml:space="preserve">   La simulation numérique a été utilisée pour étudier l'influence de la convection thermo-</w:t>
      </w:r>
      <w:proofErr w:type="spellStart"/>
      <w:r w:rsidRPr="00AB7D44">
        <w:rPr>
          <w:lang w:val="fr-FR" w:bidi="ar-DZ"/>
        </w:rPr>
        <w:t>solutale</w:t>
      </w:r>
      <w:proofErr w:type="spellEnd"/>
      <w:r w:rsidRPr="00AB7D44">
        <w:rPr>
          <w:lang w:val="fr-FR" w:bidi="ar-DZ"/>
        </w:rPr>
        <w:t xml:space="preserve"> sur les ségrégations chimiques lors de la solidification Bridgman des alliages métalliques semi-conducteur. Les résultats montrent un fort amortissement </w:t>
      </w:r>
      <w:proofErr w:type="spellStart"/>
      <w:r w:rsidRPr="00AB7D44">
        <w:rPr>
          <w:lang w:val="fr-FR" w:bidi="ar-DZ"/>
        </w:rPr>
        <w:t>solutal</w:t>
      </w:r>
      <w:proofErr w:type="spellEnd"/>
      <w:r w:rsidRPr="00AB7D44">
        <w:rPr>
          <w:lang w:val="fr-FR" w:bidi="ar-DZ"/>
        </w:rPr>
        <w:t xml:space="preserve"> de la convection thermique pendant la solidification. A la suite de cet amortissement </w:t>
      </w:r>
      <w:proofErr w:type="spellStart"/>
      <w:r w:rsidRPr="00AB7D44">
        <w:rPr>
          <w:lang w:val="fr-FR" w:bidi="ar-DZ"/>
        </w:rPr>
        <w:t>solutal</w:t>
      </w:r>
      <w:proofErr w:type="spellEnd"/>
      <w:r w:rsidRPr="00AB7D44">
        <w:rPr>
          <w:lang w:val="fr-FR" w:bidi="ar-DZ"/>
        </w:rPr>
        <w:t xml:space="preserve">, les ségrégations  chimiques augmentent et l'interface devient morphologiquement instable.  Les calculs numériques qui décrivent l'effet de la convection sur la distribution du soluté montrent que l'effet de l'amortissement </w:t>
      </w:r>
      <w:proofErr w:type="spellStart"/>
      <w:r w:rsidRPr="00AB7D44">
        <w:rPr>
          <w:lang w:val="fr-FR" w:bidi="ar-DZ"/>
        </w:rPr>
        <w:t>solutal</w:t>
      </w:r>
      <w:proofErr w:type="spellEnd"/>
      <w:r w:rsidRPr="00AB7D44">
        <w:rPr>
          <w:lang w:val="fr-FR" w:bidi="ar-DZ"/>
        </w:rPr>
        <w:t xml:space="preserve"> peut être évité et l'amélioration de la  qualité des cristaux dans deux cas : a) la croissance à vitesses faibles ; b) la croissance sous champ magnétique permanent.</w:t>
      </w:r>
    </w:p>
    <w:p w:rsidR="00F35471" w:rsidRPr="00AB7D44" w:rsidRDefault="00AB7D44" w:rsidP="00AB7D44">
      <w:pPr>
        <w:bidi w:val="0"/>
        <w:rPr>
          <w:rFonts w:hint="cs"/>
          <w:lang w:val="fr-FR" w:bidi="ar-DZ"/>
        </w:rPr>
      </w:pPr>
      <w:r w:rsidRPr="00AB7D44">
        <w:rPr>
          <w:lang w:val="fr-FR" w:bidi="ar-DZ"/>
        </w:rPr>
        <w:t>La simulation numérique montre que les cristaux obtenus à des vitesses de croissance faibles sont plus homogènes et leur qualité structurale est améliorée par rapport aux cristaux obtenus à grandes vitesses. Une très bonne concordance de nos résultats numériques avec les résultats expérimentaux trouvés auparavant.</w:t>
      </w:r>
    </w:p>
    <w:sectPr w:rsidR="00F35471" w:rsidRPr="00AB7D44"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B7D44"/>
    <w:rsid w:val="006D5754"/>
    <w:rsid w:val="00AB7D44"/>
    <w:rsid w:val="00F3547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547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401</Words>
  <Characters>2290</Characters>
  <Application>Microsoft Office Word</Application>
  <DocSecurity>0</DocSecurity>
  <Lines>19</Lines>
  <Paragraphs>5</Paragraphs>
  <ScaleCrop>false</ScaleCrop>
  <Company/>
  <LinksUpToDate>false</LinksUpToDate>
  <CharactersWithSpaces>2686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2015-03-09T10:00:00Z</dcterms:created>
  <dcterms:modified xsi:type="dcterms:W3CDTF">2015-03-09T10:01:00Z</dcterms:modified>
</cp:coreProperties>
</file>